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C026" w14:textId="77777777" w:rsidR="00515B02" w:rsidRPr="00515B02" w:rsidRDefault="00515B02" w:rsidP="00515B02"/>
    <w:tbl>
      <w:tblPr>
        <w:tblStyle w:val="TabeladeGrade5Escura-nfase6"/>
        <w:tblW w:w="15308" w:type="dxa"/>
        <w:jc w:val="center"/>
        <w:tblBorders>
          <w:top w:val="single" w:sz="4" w:space="0" w:color="45B0E1" w:themeColor="accent1" w:themeTint="99"/>
          <w:left w:val="single" w:sz="4" w:space="0" w:color="45B0E1" w:themeColor="accent1" w:themeTint="99"/>
          <w:bottom w:val="single" w:sz="4" w:space="0" w:color="45B0E1" w:themeColor="accent1" w:themeTint="99"/>
          <w:right w:val="single" w:sz="4" w:space="0" w:color="45B0E1" w:themeColor="accent1" w:themeTint="99"/>
          <w:insideH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806"/>
        <w:gridCol w:w="3073"/>
        <w:gridCol w:w="6162"/>
        <w:gridCol w:w="4267"/>
      </w:tblGrid>
      <w:tr w:rsidR="00873AD9" w:rsidRPr="00986C11" w14:paraId="5FD5E734" w14:textId="77777777" w:rsidTr="00A7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4FED5B57" w14:textId="5A0B7955" w:rsidR="00873AD9" w:rsidRPr="00986C11" w:rsidRDefault="00873AD9" w:rsidP="00986C11">
            <w:pPr>
              <w:pStyle w:val="Ttulo1"/>
            </w:pPr>
            <w:bookmarkStart w:id="0" w:name="_Toc231892946"/>
            <w:r w:rsidRPr="00986C11">
              <w:t>APUCARANA - Avaliação Institucional 2025 (docentes e discentes)</w:t>
            </w:r>
            <w:bookmarkEnd w:id="0"/>
            <w:r w:rsidRPr="00986C11">
              <w:t xml:space="preserve"> </w:t>
            </w:r>
          </w:p>
        </w:tc>
      </w:tr>
      <w:tr w:rsidR="00442115" w:rsidRPr="00994269" w14:paraId="2FD3F0BE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left w:val="none" w:sz="0" w:space="0" w:color="auto"/>
            </w:tcBorders>
          </w:tcPr>
          <w:p w14:paraId="59C68472" w14:textId="6451FDDC" w:rsidR="00442115" w:rsidRPr="00926DD6" w:rsidRDefault="00442115" w:rsidP="0005534C">
            <w:pPr>
              <w:jc w:val="center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Matriz de Impacto das Práticas Consolidadas pela Direção do campus - Potencialidades</w:t>
            </w:r>
          </w:p>
        </w:tc>
      </w:tr>
      <w:tr w:rsidR="00897BDB" w:rsidRPr="00C21022" w14:paraId="3A3EB713" w14:textId="77777777" w:rsidTr="00A765A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8" w:type="dxa"/>
            <w:tcBorders>
              <w:left w:val="none" w:sz="0" w:space="0" w:color="auto"/>
            </w:tcBorders>
            <w:hideMark/>
          </w:tcPr>
          <w:p w14:paraId="6D538E91" w14:textId="6262D8AB" w:rsidR="00897BDB" w:rsidRPr="00926DD6" w:rsidRDefault="00897BDB" w:rsidP="000010CB">
            <w:pPr>
              <w:rPr>
                <w:rFonts w:ascii="Aptos Narrow" w:hAnsi="Aptos Narrow"/>
                <w:b w:val="0"/>
                <w:bCs w:val="0"/>
                <w:color w:val="000000" w:themeColor="text1"/>
              </w:rPr>
            </w:pPr>
            <w:r w:rsidRPr="00926DD6">
              <w:rPr>
                <w:rFonts w:ascii="Aptos Narrow" w:hAnsi="Aptos Narrow"/>
                <w:color w:val="000000" w:themeColor="text1"/>
              </w:rPr>
              <w:t>Área / Eixo</w:t>
            </w:r>
          </w:p>
        </w:tc>
        <w:tc>
          <w:tcPr>
            <w:tcW w:w="4347" w:type="dxa"/>
            <w:hideMark/>
          </w:tcPr>
          <w:p w14:paraId="39914351" w14:textId="1FC4B530" w:rsidR="00897BDB" w:rsidRPr="00926DD6" w:rsidRDefault="00897BDB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 xml:space="preserve">Ação Implementada </w:t>
            </w:r>
          </w:p>
        </w:tc>
        <w:tc>
          <w:tcPr>
            <w:tcW w:w="4998" w:type="dxa"/>
            <w:hideMark/>
          </w:tcPr>
          <w:p w14:paraId="14D050F9" w14:textId="77777777" w:rsidR="00897BDB" w:rsidRPr="00926DD6" w:rsidRDefault="00897BDB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Impacto Acadêmico e Institucional</w:t>
            </w:r>
          </w:p>
        </w:tc>
        <w:tc>
          <w:tcPr>
            <w:tcW w:w="3795" w:type="dxa"/>
            <w:hideMark/>
          </w:tcPr>
          <w:p w14:paraId="16BF0C11" w14:textId="75DC6763" w:rsidR="00897BDB" w:rsidRPr="00926DD6" w:rsidRDefault="00897BDB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Canal de Divulgação Sugerido</w:t>
            </w:r>
          </w:p>
        </w:tc>
      </w:tr>
      <w:tr w:rsidR="00C21022" w:rsidRPr="00C21022" w14:paraId="6399EE2F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2D1E386D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Ensino e Metodologias </w:t>
            </w:r>
          </w:p>
        </w:tc>
        <w:tc>
          <w:tcPr>
            <w:tcW w:w="0" w:type="auto"/>
            <w:hideMark/>
          </w:tcPr>
          <w:p w14:paraId="7B678077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Atualização contínua do PPC.</w:t>
            </w:r>
          </w:p>
          <w:p w14:paraId="56171C0E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Metodologias ativas (sala invertida, projetos).</w:t>
            </w:r>
          </w:p>
          <w:p w14:paraId="33301DB6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Uso de tecnologias digitais.</w:t>
            </w:r>
          </w:p>
          <w:p w14:paraId="44414B30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Avaliações flexíveis e contínuas.</w:t>
            </w:r>
          </w:p>
          <w:p w14:paraId="2BB2B6D2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Personalização do ensino.</w:t>
            </w:r>
          </w:p>
          <w:p w14:paraId="14DEB801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Didáticas variadas (quadro, slides, dinâmicas). </w:t>
            </w:r>
          </w:p>
        </w:tc>
        <w:tc>
          <w:tcPr>
            <w:tcW w:w="0" w:type="auto"/>
            <w:hideMark/>
          </w:tcPr>
          <w:p w14:paraId="3F45B883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Garante o alinhamento regulatório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frente ao CEE/PR com notas de excelência. Combate a evasão ao tornar as salas de aula espaços dinâmicos, inclusivos e sintonizados com as novas demandas de mercado.</w:t>
            </w:r>
          </w:p>
        </w:tc>
        <w:tc>
          <w:tcPr>
            <w:tcW w:w="0" w:type="auto"/>
            <w:hideMark/>
          </w:tcPr>
          <w:p w14:paraId="70C44245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Portal / Site da UNESPAR: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  <w:t xml:space="preserve"> Relatos de experiência docente.</w:t>
            </w:r>
          </w:p>
          <w:p w14:paraId="11A78B5B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Redes Sociais do Campus: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  <w:t xml:space="preserve"> Vídeos curtos com professores explicando a aplicação de suas metodologias.</w:t>
            </w:r>
          </w:p>
        </w:tc>
      </w:tr>
      <w:tr w:rsidR="00C21022" w:rsidRPr="00C21022" w14:paraId="2B193459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23536FE5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F87078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Integração teoria-prática.</w:t>
            </w:r>
          </w:p>
          <w:p w14:paraId="282A8AF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Workshops e atividades práticas. </w:t>
            </w:r>
          </w:p>
        </w:tc>
        <w:tc>
          <w:tcPr>
            <w:tcW w:w="0" w:type="auto"/>
            <w:hideMark/>
          </w:tcPr>
          <w:p w14:paraId="03213D0F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Acelera a empregabilidade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dos discentes e gera segurança profissional antes mesmo do estágio obrigatório.</w:t>
            </w:r>
          </w:p>
        </w:tc>
        <w:tc>
          <w:tcPr>
            <w:tcW w:w="0" w:type="auto"/>
            <w:hideMark/>
          </w:tcPr>
          <w:p w14:paraId="2D302571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Assessoria de Imprensa local: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Divulgação de fotos e resultados dos workshops na mídia regional.</w:t>
            </w:r>
          </w:p>
        </w:tc>
      </w:tr>
      <w:tr w:rsidR="00C21022" w:rsidRPr="00C21022" w14:paraId="0E3E2871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00FA1214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943148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Aplicação do Desenho Universal para Aprendizagem (DUA). </w:t>
            </w:r>
          </w:p>
        </w:tc>
        <w:tc>
          <w:tcPr>
            <w:tcW w:w="0" w:type="auto"/>
            <w:hideMark/>
          </w:tcPr>
          <w:p w14:paraId="14334A7C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Atendimento pleno às políticas de inclusão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, elevando o indicador de acessibilidade pedagógica da IES junto aos avaliadores externos.</w:t>
            </w:r>
          </w:p>
        </w:tc>
        <w:tc>
          <w:tcPr>
            <w:tcW w:w="0" w:type="auto"/>
            <w:hideMark/>
          </w:tcPr>
          <w:p w14:paraId="0EBD4649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Informativos do Campus: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Destacar Apucarana como um polo acadêmico inclusivo e acolhedor.</w:t>
            </w:r>
          </w:p>
        </w:tc>
      </w:tr>
      <w:tr w:rsidR="00C21022" w:rsidRPr="00C21022" w14:paraId="59C74A76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01A21E94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Apoio ao Estudante </w:t>
            </w:r>
          </w:p>
        </w:tc>
        <w:tc>
          <w:tcPr>
            <w:tcW w:w="0" w:type="auto"/>
            <w:hideMark/>
          </w:tcPr>
          <w:p w14:paraId="437BD358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Apoio pedagógico e psicossocial.</w:t>
            </w:r>
          </w:p>
          <w:p w14:paraId="22CA9B66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Atendimento psicológico no campus.</w:t>
            </w:r>
          </w:p>
          <w:p w14:paraId="29FC5503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Apoio dos Núcleos CEDH (Direitos Humanos).</w:t>
            </w:r>
          </w:p>
          <w:p w14:paraId="13D9A465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Fortalecimento do NESPI (Inclusão). </w:t>
            </w:r>
          </w:p>
        </w:tc>
        <w:tc>
          <w:tcPr>
            <w:tcW w:w="0" w:type="auto"/>
            <w:hideMark/>
          </w:tcPr>
          <w:p w14:paraId="1F8483A5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Garante a permanência estudantil e a saúde mental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, impactando positivamente o rendimento acadêmico geral e reduzindo as taxas de trancamento de curso.</w:t>
            </w:r>
          </w:p>
        </w:tc>
        <w:tc>
          <w:tcPr>
            <w:tcW w:w="0" w:type="auto"/>
            <w:hideMark/>
          </w:tcPr>
          <w:p w14:paraId="39BB1953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Campanhas de Acolhimento: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Postagens fixas com horários e contatos desses núcleos para aproximar ainda mais os estudantes.</w:t>
            </w:r>
          </w:p>
        </w:tc>
      </w:tr>
      <w:tr w:rsidR="00C21022" w:rsidRPr="00C21022" w14:paraId="75E1D1C9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4D806B61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A45243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Disponibilização de smartphones. </w:t>
            </w:r>
          </w:p>
        </w:tc>
        <w:tc>
          <w:tcPr>
            <w:tcW w:w="0" w:type="auto"/>
            <w:hideMark/>
          </w:tcPr>
          <w:p w14:paraId="04F4AF02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Inclusão digital real.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Reduz a vulnerabilidade socioeconômica e equipara as condições de estudo e pesquisa fora da sala de aula.</w:t>
            </w:r>
          </w:p>
        </w:tc>
        <w:tc>
          <w:tcPr>
            <w:tcW w:w="0" w:type="auto"/>
            <w:hideMark/>
          </w:tcPr>
          <w:p w14:paraId="39EA8AF6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Relatório da CPA: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Uso do dado como case de sucesso em responsabilidade social.</w:t>
            </w:r>
          </w:p>
        </w:tc>
      </w:tr>
      <w:tr w:rsidR="00C21022" w:rsidRPr="00C21022" w14:paraId="6401D16D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733A04BA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D44564" w14:textId="42763B58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Coordenação em contato constante com </w:t>
            </w:r>
            <w:r w:rsidR="00817512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Estudantes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. </w:t>
            </w:r>
          </w:p>
        </w:tc>
        <w:tc>
          <w:tcPr>
            <w:tcW w:w="0" w:type="auto"/>
            <w:hideMark/>
          </w:tcPr>
          <w:p w14:paraId="5176BD8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Gestão humanizada e ágil.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O estreitamento desse laço previne crises pedagógicas e antecipa soluções administrativas cotidianas.</w:t>
            </w:r>
          </w:p>
        </w:tc>
        <w:tc>
          <w:tcPr>
            <w:tcW w:w="0" w:type="auto"/>
            <w:hideMark/>
          </w:tcPr>
          <w:p w14:paraId="5350F632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Reuniões Colegiadas: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Reconhecimento institucional e elogio formal às coordenações engajadas.</w:t>
            </w:r>
          </w:p>
        </w:tc>
      </w:tr>
      <w:tr w:rsidR="00C21022" w:rsidRPr="00C21022" w14:paraId="2C7BD7B0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34CC26B4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lastRenderedPageBreak/>
              <w:t xml:space="preserve">Extensão e Cultura </w:t>
            </w:r>
          </w:p>
        </w:tc>
        <w:tc>
          <w:tcPr>
            <w:tcW w:w="0" w:type="auto"/>
            <w:hideMark/>
          </w:tcPr>
          <w:p w14:paraId="16F594A5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proofErr w:type="spellStart"/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Teletandem</w:t>
            </w:r>
            <w:proofErr w:type="spellEnd"/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: trocas culturais entre estudantes brasileiros e bolivianos. </w:t>
            </w:r>
          </w:p>
        </w:tc>
        <w:tc>
          <w:tcPr>
            <w:tcW w:w="0" w:type="auto"/>
            <w:hideMark/>
          </w:tcPr>
          <w:p w14:paraId="66543BD5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Internacionalização na prática.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Projeta o nome da UNESPAR além das fronteiras e enriquece o repertório cultural dos alunos.</w:t>
            </w:r>
          </w:p>
        </w:tc>
        <w:tc>
          <w:tcPr>
            <w:tcW w:w="0" w:type="auto"/>
            <w:hideMark/>
          </w:tcPr>
          <w:p w14:paraId="48883591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Destaque na Home da UNESPAR: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Matéria especial detalhando como funciona o projeto e como se inscrever.</w:t>
            </w:r>
          </w:p>
        </w:tc>
      </w:tr>
      <w:tr w:rsidR="00C21022" w:rsidRPr="00C21022" w14:paraId="73C2B1A0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260E56E0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27A459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Atividades práticas de extensão.</w:t>
            </w:r>
          </w:p>
          <w:p w14:paraId="570E212A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Projetos e eventos acadêmicos (Semana Acadêmica, Expo Empreendedor).</w:t>
            </w:r>
          </w:p>
          <w:p w14:paraId="3053E69E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• Congressos, seminários e rodas de conversa.</w:t>
            </w:r>
          </w:p>
          <w:p w14:paraId="5D7D7493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Integração com o Conecta Apucarana. </w:t>
            </w:r>
          </w:p>
        </w:tc>
        <w:tc>
          <w:tcPr>
            <w:tcW w:w="0" w:type="auto"/>
            <w:hideMark/>
          </w:tcPr>
          <w:p w14:paraId="30EE1FEB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Cumprimento da </w:t>
            </w:r>
            <w:proofErr w:type="spellStart"/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Curricularização</w:t>
            </w:r>
            <w:proofErr w:type="spellEnd"/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da Extensão.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Insere a universidade diretamente no ecossistema de inovação regional, gerando forte impacto social.</w:t>
            </w:r>
          </w:p>
        </w:tc>
        <w:tc>
          <w:tcPr>
            <w:tcW w:w="0" w:type="auto"/>
            <w:hideMark/>
          </w:tcPr>
          <w:p w14:paraId="3A4B3F28" w14:textId="35D7D1E6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Mídia Local: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Envio de sugestões de pauta para TVs e jornais </w:t>
            </w:r>
            <w:r w:rsidR="00817512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para cobertura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dos eventos, atraindo a comunidade externa.</w:t>
            </w:r>
          </w:p>
        </w:tc>
      </w:tr>
      <w:tr w:rsidR="00C21022" w:rsidRPr="00C21022" w14:paraId="3FE13631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0F254E00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Formação e Capacitação </w:t>
            </w:r>
          </w:p>
        </w:tc>
        <w:tc>
          <w:tcPr>
            <w:tcW w:w="0" w:type="auto"/>
            <w:hideMark/>
          </w:tcPr>
          <w:p w14:paraId="252E07AE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Cursos de formação docente sobre Inteligência Artificial (IA). </w:t>
            </w:r>
          </w:p>
        </w:tc>
        <w:tc>
          <w:tcPr>
            <w:tcW w:w="0" w:type="auto"/>
            <w:hideMark/>
          </w:tcPr>
          <w:p w14:paraId="71E96218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Vanguarda tecnológica.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Atualiza o corpo docente para lidar com as novas fronteiras do conhecimento e das ferramentas digitais.</w:t>
            </w:r>
          </w:p>
        </w:tc>
        <w:tc>
          <w:tcPr>
            <w:tcW w:w="0" w:type="auto"/>
            <w:hideMark/>
          </w:tcPr>
          <w:p w14:paraId="2165224A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LinkedIn Institucional: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Compartilhar o investimento na capacitação tecnológica do corpo docente da UNESPAR.</w:t>
            </w:r>
          </w:p>
        </w:tc>
      </w:tr>
      <w:tr w:rsidR="00C21022" w:rsidRPr="00C21022" w14:paraId="391861E9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3DE8D051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8C7716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Cursos extras (Paraná Fala Inglês). </w:t>
            </w:r>
          </w:p>
        </w:tc>
        <w:tc>
          <w:tcPr>
            <w:tcW w:w="0" w:type="auto"/>
            <w:hideMark/>
          </w:tcPr>
          <w:p w14:paraId="52C161A8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Diferencial competitivo gratuito.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Eleva o currículo dos acadêmicos do Paraná para o mercado global.</w:t>
            </w:r>
          </w:p>
        </w:tc>
        <w:tc>
          <w:tcPr>
            <w:tcW w:w="0" w:type="auto"/>
            <w:hideMark/>
          </w:tcPr>
          <w:p w14:paraId="5FCC3BA0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Informativos Digitais: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Divulgação maciça de abertura de turmas para manter o engajamento de novos alunos.</w:t>
            </w:r>
          </w:p>
        </w:tc>
      </w:tr>
      <w:tr w:rsidR="00C21022" w:rsidRPr="00C21022" w14:paraId="6E681BF6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</w:tcBorders>
            <w:hideMark/>
          </w:tcPr>
          <w:p w14:paraId="7770F9FD" w14:textId="77777777" w:rsidR="00C21022" w:rsidRPr="00926DD6" w:rsidRDefault="00C21022" w:rsidP="000010CB">
            <w:pPr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3350A7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Implementação e fortalecimento da Empresa Júnior. </w:t>
            </w:r>
          </w:p>
        </w:tc>
        <w:tc>
          <w:tcPr>
            <w:tcW w:w="0" w:type="auto"/>
            <w:hideMark/>
          </w:tcPr>
          <w:p w14:paraId="7FA9E650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Protagonismo estudantil e fomento econômico.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Conecta a universidade com o empresariado local por meio de consultorias acessíveis.</w:t>
            </w:r>
          </w:p>
        </w:tc>
        <w:tc>
          <w:tcPr>
            <w:tcW w:w="0" w:type="auto"/>
            <w:hideMark/>
          </w:tcPr>
          <w:p w14:paraId="33F58E7D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Arial"/>
                <w:color w:val="1F1F1F"/>
                <w:kern w:val="0"/>
                <w:lang w:eastAsia="pt-BR"/>
                <w14:ligatures w14:val="none"/>
              </w:rPr>
            </w:pP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• </w:t>
            </w:r>
            <w:r w:rsidRPr="00926DD6">
              <w:rPr>
                <w:rFonts w:ascii="Aptos Narrow" w:eastAsia="Times New Roman" w:hAnsi="Aptos Narrow" w:cs="Arial"/>
                <w:b/>
                <w:bCs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>Parcerias Locais:</w:t>
            </w:r>
            <w:r w:rsidRPr="00926DD6">
              <w:rPr>
                <w:rFonts w:ascii="Aptos Narrow" w:eastAsia="Times New Roman" w:hAnsi="Aptos Narrow" w:cs="Arial"/>
                <w:color w:val="1F1F1F"/>
                <w:kern w:val="0"/>
                <w:bdr w:val="none" w:sz="0" w:space="0" w:color="auto" w:frame="1"/>
                <w:lang w:eastAsia="pt-BR"/>
                <w14:ligatures w14:val="none"/>
              </w:rPr>
              <w:t xml:space="preserve"> Promover os serviços que a Empresa Júnior oferece para a comunidade externa.</w:t>
            </w:r>
          </w:p>
        </w:tc>
      </w:tr>
    </w:tbl>
    <w:p w14:paraId="25DDD744" w14:textId="77777777" w:rsidR="00873AD9" w:rsidRDefault="00873AD9" w:rsidP="00867CB9"/>
    <w:sectPr w:rsidR="00873AD9" w:rsidSect="00A765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DB"/>
    <w:rsid w:val="000010CB"/>
    <w:rsid w:val="001951A0"/>
    <w:rsid w:val="001D1963"/>
    <w:rsid w:val="003C7F59"/>
    <w:rsid w:val="00405C51"/>
    <w:rsid w:val="00442115"/>
    <w:rsid w:val="00515B02"/>
    <w:rsid w:val="00657AC5"/>
    <w:rsid w:val="00684FC4"/>
    <w:rsid w:val="006A6475"/>
    <w:rsid w:val="006A7889"/>
    <w:rsid w:val="00707563"/>
    <w:rsid w:val="00787F45"/>
    <w:rsid w:val="007B1B0A"/>
    <w:rsid w:val="008059E0"/>
    <w:rsid w:val="00817512"/>
    <w:rsid w:val="00867CB9"/>
    <w:rsid w:val="00873AD9"/>
    <w:rsid w:val="00897BDB"/>
    <w:rsid w:val="008A636E"/>
    <w:rsid w:val="008B7D57"/>
    <w:rsid w:val="008C1DBA"/>
    <w:rsid w:val="008F74B0"/>
    <w:rsid w:val="00925D4B"/>
    <w:rsid w:val="00926DD6"/>
    <w:rsid w:val="00986C11"/>
    <w:rsid w:val="00994269"/>
    <w:rsid w:val="00A50340"/>
    <w:rsid w:val="00A765AD"/>
    <w:rsid w:val="00AE3E54"/>
    <w:rsid w:val="00BB395F"/>
    <w:rsid w:val="00BE0BF7"/>
    <w:rsid w:val="00C21022"/>
    <w:rsid w:val="00C919E8"/>
    <w:rsid w:val="00DB6B59"/>
    <w:rsid w:val="00E2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CFB"/>
  <w15:chartTrackingRefBased/>
  <w15:docId w15:val="{0A70E739-8FBF-4AD3-A14B-77B85320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0CB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94269"/>
    <w:pPr>
      <w:keepNext/>
      <w:keepLines/>
      <w:jc w:val="center"/>
      <w:outlineLvl w:val="0"/>
    </w:pPr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7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7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7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7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7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7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7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7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69"/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7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7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7B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7B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7B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7B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7B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7B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7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7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7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7B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7B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7B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7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7B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7BDB"/>
    <w:rPr>
      <w:b/>
      <w:bCs/>
      <w:smallCaps/>
      <w:color w:val="0F4761" w:themeColor="accent1" w:themeShade="BF"/>
      <w:spacing w:val="5"/>
    </w:rPr>
  </w:style>
  <w:style w:type="table" w:styleId="TabeladeGrade5Escura-nfase6">
    <w:name w:val="Grid Table 5 Dark Accent 6"/>
    <w:basedOn w:val="Tabelanormal"/>
    <w:uiPriority w:val="50"/>
    <w:rsid w:val="00897B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character" w:styleId="Forte">
    <w:name w:val="Strong"/>
    <w:basedOn w:val="Fontepargpadro"/>
    <w:uiPriority w:val="22"/>
    <w:qFormat/>
    <w:rsid w:val="00C21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10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480">
    <w:name w:val="citation-480"/>
    <w:basedOn w:val="Fontepargpadro"/>
    <w:rsid w:val="00C21022"/>
  </w:style>
  <w:style w:type="character" w:customStyle="1" w:styleId="citation-479">
    <w:name w:val="citation-479"/>
    <w:basedOn w:val="Fontepargpadro"/>
    <w:rsid w:val="00C21022"/>
  </w:style>
  <w:style w:type="character" w:customStyle="1" w:styleId="citation-478">
    <w:name w:val="citation-478"/>
    <w:basedOn w:val="Fontepargpadro"/>
    <w:rsid w:val="00C21022"/>
  </w:style>
  <w:style w:type="character" w:customStyle="1" w:styleId="citation-477">
    <w:name w:val="citation-477"/>
    <w:basedOn w:val="Fontepargpadro"/>
    <w:rsid w:val="00C21022"/>
  </w:style>
  <w:style w:type="character" w:customStyle="1" w:styleId="citation-476">
    <w:name w:val="citation-476"/>
    <w:basedOn w:val="Fontepargpadro"/>
    <w:rsid w:val="00C21022"/>
  </w:style>
  <w:style w:type="character" w:customStyle="1" w:styleId="citation-475">
    <w:name w:val="citation-475"/>
    <w:basedOn w:val="Fontepargpadro"/>
    <w:rsid w:val="00C21022"/>
  </w:style>
  <w:style w:type="character" w:customStyle="1" w:styleId="citation-474">
    <w:name w:val="citation-474"/>
    <w:basedOn w:val="Fontepargpadro"/>
    <w:rsid w:val="00C21022"/>
  </w:style>
  <w:style w:type="character" w:customStyle="1" w:styleId="citation-473">
    <w:name w:val="citation-473"/>
    <w:basedOn w:val="Fontepargpadro"/>
    <w:rsid w:val="00C21022"/>
  </w:style>
  <w:style w:type="character" w:customStyle="1" w:styleId="citation-472">
    <w:name w:val="citation-472"/>
    <w:basedOn w:val="Fontepargpadro"/>
    <w:rsid w:val="00C21022"/>
  </w:style>
  <w:style w:type="character" w:customStyle="1" w:styleId="citation-471">
    <w:name w:val="citation-471"/>
    <w:basedOn w:val="Fontepargpadro"/>
    <w:rsid w:val="00C21022"/>
  </w:style>
  <w:style w:type="character" w:customStyle="1" w:styleId="citation-470">
    <w:name w:val="citation-470"/>
    <w:basedOn w:val="Fontepargpadro"/>
    <w:rsid w:val="00C21022"/>
  </w:style>
  <w:style w:type="character" w:customStyle="1" w:styleId="citation-469">
    <w:name w:val="citation-469"/>
    <w:basedOn w:val="Fontepargpadro"/>
    <w:rsid w:val="00C21022"/>
  </w:style>
  <w:style w:type="character" w:customStyle="1" w:styleId="citation-468">
    <w:name w:val="citation-468"/>
    <w:basedOn w:val="Fontepargpadro"/>
    <w:rsid w:val="00C21022"/>
  </w:style>
  <w:style w:type="character" w:customStyle="1" w:styleId="citation-467">
    <w:name w:val="citation-467"/>
    <w:basedOn w:val="Fontepargpadro"/>
    <w:rsid w:val="00C21022"/>
  </w:style>
  <w:style w:type="character" w:customStyle="1" w:styleId="citation-466">
    <w:name w:val="citation-466"/>
    <w:basedOn w:val="Fontepargpadro"/>
    <w:rsid w:val="00C21022"/>
  </w:style>
  <w:style w:type="paragraph" w:styleId="CabealhodoSumrio">
    <w:name w:val="TOC Heading"/>
    <w:basedOn w:val="Ttulo1"/>
    <w:next w:val="Normal"/>
    <w:uiPriority w:val="39"/>
    <w:unhideWhenUsed/>
    <w:qFormat/>
    <w:rsid w:val="00926DD6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926DD6"/>
    <w:pPr>
      <w:spacing w:after="100"/>
    </w:pPr>
  </w:style>
  <w:style w:type="character" w:styleId="Hyperlink">
    <w:name w:val="Hyperlink"/>
    <w:basedOn w:val="Fontepargpadro"/>
    <w:uiPriority w:val="99"/>
    <w:unhideWhenUsed/>
    <w:rsid w:val="00926DD6"/>
    <w:rPr>
      <w:color w:val="467886" w:themeColor="hyperlink"/>
      <w:u w:val="single"/>
    </w:rPr>
  </w:style>
  <w:style w:type="table" w:styleId="TabeladeGrade7Colorida-nfase6">
    <w:name w:val="Grid Table 7 Colorful Accent 6"/>
    <w:basedOn w:val="Tabelanormal"/>
    <w:uiPriority w:val="52"/>
    <w:rsid w:val="00986C11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226B-33AD-40AA-9BEE-165EECA8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Antenogines.Pedroso - Unespar Apucarana</dc:creator>
  <cp:keywords/>
  <dc:description/>
  <cp:lastModifiedBy>Antenogines.Pedroso - Unespar Apucarana</cp:lastModifiedBy>
  <cp:revision>4</cp:revision>
  <dcterms:created xsi:type="dcterms:W3CDTF">2026-06-10T17:50:00Z</dcterms:created>
  <dcterms:modified xsi:type="dcterms:W3CDTF">2026-06-16T17:23:00Z</dcterms:modified>
</cp:coreProperties>
</file>