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85CE6" w14:textId="77777777" w:rsidR="00C919E8" w:rsidRDefault="00C919E8"/>
    <w:tbl>
      <w:tblPr>
        <w:tblStyle w:val="TabeladeGrade5Escura-nfase6"/>
        <w:tblW w:w="15308" w:type="dxa"/>
        <w:jc w:val="center"/>
        <w:tblBorders>
          <w:top w:val="single" w:sz="4" w:space="0" w:color="45B0E1" w:themeColor="accent1" w:themeTint="99"/>
          <w:left w:val="single" w:sz="4" w:space="0" w:color="45B0E1" w:themeColor="accent1" w:themeTint="99"/>
          <w:bottom w:val="single" w:sz="4" w:space="0" w:color="45B0E1" w:themeColor="accent1" w:themeTint="99"/>
          <w:right w:val="single" w:sz="4" w:space="0" w:color="45B0E1" w:themeColor="accent1" w:themeTint="99"/>
          <w:insideH w:val="single" w:sz="4" w:space="0" w:color="45B0E1" w:themeColor="accent1" w:themeTint="99"/>
          <w:insideV w:val="single" w:sz="4" w:space="0" w:color="45B0E1" w:themeColor="accent1" w:themeTint="99"/>
        </w:tblBorders>
        <w:tblLook w:val="04A0" w:firstRow="1" w:lastRow="0" w:firstColumn="1" w:lastColumn="0" w:noHBand="0" w:noVBand="1"/>
      </w:tblPr>
      <w:tblGrid>
        <w:gridCol w:w="1899"/>
        <w:gridCol w:w="4343"/>
        <w:gridCol w:w="5061"/>
        <w:gridCol w:w="4005"/>
      </w:tblGrid>
      <w:tr w:rsidR="00C21022" w:rsidRPr="00986C11" w14:paraId="21691BF0" w14:textId="77777777" w:rsidTr="00A765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8" w:type="dxa"/>
            <w:gridSpan w:val="4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63647F00" w14:textId="3E8875C9" w:rsidR="00C21022" w:rsidRPr="00986C11" w:rsidRDefault="00C21022" w:rsidP="00986C11">
            <w:pPr>
              <w:pStyle w:val="Ttulo1"/>
            </w:pPr>
            <w:bookmarkStart w:id="0" w:name="_Toc231892948"/>
            <w:r w:rsidRPr="00986C11">
              <w:t>CURITIBA I - Avaliação Institucional 2025 (docentes e discentes)</w:t>
            </w:r>
            <w:bookmarkEnd w:id="0"/>
          </w:p>
        </w:tc>
      </w:tr>
      <w:tr w:rsidR="00442115" w:rsidRPr="00873AD9" w14:paraId="6497EA12" w14:textId="77777777" w:rsidTr="00A765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08" w:type="dxa"/>
            <w:gridSpan w:val="4"/>
            <w:tcBorders>
              <w:left w:val="none" w:sz="0" w:space="0" w:color="auto"/>
            </w:tcBorders>
          </w:tcPr>
          <w:p w14:paraId="4F9D677C" w14:textId="77777777" w:rsidR="00442115" w:rsidRPr="00926DD6" w:rsidRDefault="00442115" w:rsidP="0005534C">
            <w:pPr>
              <w:jc w:val="center"/>
              <w:rPr>
                <w:rFonts w:ascii="Aptos Narrow" w:hAnsi="Aptos Narrow"/>
                <w:b w:val="0"/>
                <w:bCs w:val="0"/>
              </w:rPr>
            </w:pPr>
            <w:r w:rsidRPr="00926DD6">
              <w:rPr>
                <w:rFonts w:ascii="Aptos Narrow" w:hAnsi="Aptos Narrow"/>
                <w:b w:val="0"/>
                <w:bCs w:val="0"/>
              </w:rPr>
              <w:t xml:space="preserve">Matriz de Impacto das </w:t>
            </w:r>
            <w:r w:rsidRPr="00926DD6">
              <w:rPr>
                <w:rFonts w:ascii="Aptos Narrow" w:hAnsi="Aptos Narrow"/>
              </w:rPr>
              <w:t>Práticas Consolidadas pela Direção do campus</w:t>
            </w:r>
            <w:r w:rsidRPr="00926DD6">
              <w:rPr>
                <w:rFonts w:ascii="Aptos Narrow" w:hAnsi="Aptos Narrow"/>
                <w:b w:val="0"/>
                <w:bCs w:val="0"/>
              </w:rPr>
              <w:t xml:space="preserve"> - Potencialidades</w:t>
            </w:r>
          </w:p>
        </w:tc>
      </w:tr>
      <w:tr w:rsidR="00C21022" w:rsidRPr="00C21022" w14:paraId="34246239" w14:textId="77777777" w:rsidTr="00C919E8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7" w:type="dxa"/>
            <w:tcBorders>
              <w:left w:val="none" w:sz="0" w:space="0" w:color="auto"/>
            </w:tcBorders>
            <w:hideMark/>
          </w:tcPr>
          <w:p w14:paraId="5861801B" w14:textId="77777777" w:rsidR="00C21022" w:rsidRPr="00926DD6" w:rsidRDefault="00C21022" w:rsidP="000010CB">
            <w:pPr>
              <w:rPr>
                <w:rFonts w:ascii="Aptos Narrow" w:hAnsi="Aptos Narrow"/>
                <w:b w:val="0"/>
                <w:bCs w:val="0"/>
                <w:color w:val="000000" w:themeColor="text1"/>
              </w:rPr>
            </w:pPr>
            <w:r w:rsidRPr="00926DD6">
              <w:rPr>
                <w:rFonts w:ascii="Aptos Narrow" w:hAnsi="Aptos Narrow"/>
                <w:color w:val="000000" w:themeColor="text1"/>
              </w:rPr>
              <w:t>Área / Eixo</w:t>
            </w:r>
          </w:p>
        </w:tc>
        <w:tc>
          <w:tcPr>
            <w:tcW w:w="4476" w:type="dxa"/>
            <w:hideMark/>
          </w:tcPr>
          <w:p w14:paraId="2F7C754F" w14:textId="77777777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926DD6">
              <w:rPr>
                <w:rFonts w:ascii="Aptos Narrow" w:hAnsi="Aptos Narrow"/>
                <w:b/>
                <w:bCs/>
                <w:color w:val="000000" w:themeColor="text1"/>
              </w:rPr>
              <w:t xml:space="preserve">Ação Implementada </w:t>
            </w:r>
          </w:p>
        </w:tc>
        <w:tc>
          <w:tcPr>
            <w:tcW w:w="5121" w:type="dxa"/>
            <w:hideMark/>
          </w:tcPr>
          <w:p w14:paraId="54AD27F2" w14:textId="77777777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926DD6">
              <w:rPr>
                <w:rFonts w:ascii="Aptos Narrow" w:hAnsi="Aptos Narrow"/>
                <w:b/>
                <w:bCs/>
                <w:color w:val="000000" w:themeColor="text1"/>
              </w:rPr>
              <w:t>Impacto Acadêmico e Institucional</w:t>
            </w:r>
          </w:p>
        </w:tc>
        <w:tc>
          <w:tcPr>
            <w:tcW w:w="3814" w:type="dxa"/>
            <w:hideMark/>
          </w:tcPr>
          <w:p w14:paraId="11E25D5D" w14:textId="77777777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bCs/>
                <w:color w:val="000000" w:themeColor="text1"/>
              </w:rPr>
            </w:pPr>
            <w:r w:rsidRPr="00926DD6">
              <w:rPr>
                <w:rFonts w:ascii="Aptos Narrow" w:hAnsi="Aptos Narrow"/>
                <w:b/>
                <w:bCs/>
                <w:color w:val="000000" w:themeColor="text1"/>
              </w:rPr>
              <w:t>Canal de Divulgação Sugerido</w:t>
            </w:r>
          </w:p>
        </w:tc>
      </w:tr>
      <w:tr w:rsidR="00C21022" w:rsidRPr="00C21022" w14:paraId="21FD759A" w14:textId="77777777" w:rsidTr="00A765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</w:tcBorders>
            <w:hideMark/>
          </w:tcPr>
          <w:p w14:paraId="6A134EB0" w14:textId="77777777" w:rsidR="00C21022" w:rsidRPr="00926DD6" w:rsidRDefault="00C21022" w:rsidP="000010CB">
            <w:pPr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>Inclusão e Acessibilidade</w:t>
            </w:r>
          </w:p>
        </w:tc>
        <w:tc>
          <w:tcPr>
            <w:tcW w:w="0" w:type="auto"/>
            <w:hideMark/>
          </w:tcPr>
          <w:p w14:paraId="01BEA3C9" w14:textId="356C167C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Aplicação do DUA (Desenho Universal para Aprendizagem) nas salas promovendo inclusão. </w:t>
            </w:r>
          </w:p>
          <w:p w14:paraId="1082CBEF" w14:textId="47D83456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Trabalho dos Professores AEE estruturado nos três períodos. </w:t>
            </w:r>
          </w:p>
          <w:p w14:paraId="2A537D02" w14:textId="38D205C0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>• Conhecimento do PEI (Plano Educacional Individualizado) e atuação da Divisão de Assuntos Estudantis e Núcleo de Educação Especial Inclusiva</w:t>
            </w:r>
          </w:p>
          <w:p w14:paraId="032B9D62" w14:textId="77777777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Formas participativas de ensino com suporte de professores AEE. </w:t>
            </w:r>
          </w:p>
        </w:tc>
        <w:tc>
          <w:tcPr>
            <w:tcW w:w="0" w:type="auto"/>
            <w:hideMark/>
          </w:tcPr>
          <w:p w14:paraId="3B41718C" w14:textId="77777777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  <w:b/>
                <w:bCs/>
              </w:rPr>
              <w:t>Referência Absoluta em Educação Inclusiva.</w:t>
            </w:r>
            <w:r w:rsidRPr="00926DD6">
              <w:rPr>
                <w:rFonts w:ascii="Aptos Narrow" w:hAnsi="Aptos Narrow"/>
              </w:rPr>
              <w:t xml:space="preserve"> O acompanhamento em todos os turnos garante amparo legal integral e nota máxima nos eixos de acessibilidade pedagógica. </w:t>
            </w:r>
          </w:p>
        </w:tc>
        <w:tc>
          <w:tcPr>
            <w:tcW w:w="0" w:type="auto"/>
            <w:hideMark/>
          </w:tcPr>
          <w:p w14:paraId="58ADE37F" w14:textId="77777777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</w:t>
            </w:r>
            <w:r w:rsidRPr="00926DD6">
              <w:rPr>
                <w:rFonts w:ascii="Aptos Narrow" w:hAnsi="Aptos Narrow"/>
                <w:b/>
                <w:bCs/>
              </w:rPr>
              <w:t>Eventos Pedagógicos:</w:t>
            </w:r>
            <w:r w:rsidRPr="00926DD6">
              <w:rPr>
                <w:rFonts w:ascii="Aptos Narrow" w:hAnsi="Aptos Narrow"/>
              </w:rPr>
              <w:t xml:space="preserve"> Compartilhar o modelo do PEI e da aplicação do DUA como referência para os demais </w:t>
            </w:r>
            <w:proofErr w:type="spellStart"/>
            <w:r w:rsidRPr="00926DD6">
              <w:rPr>
                <w:rFonts w:ascii="Aptos Narrow" w:hAnsi="Aptos Narrow"/>
              </w:rPr>
              <w:t>campi</w:t>
            </w:r>
            <w:proofErr w:type="spellEnd"/>
            <w:r w:rsidRPr="00926DD6">
              <w:rPr>
                <w:rFonts w:ascii="Aptos Narrow" w:hAnsi="Aptos Narrow"/>
              </w:rPr>
              <w:t xml:space="preserve">. </w:t>
            </w:r>
          </w:p>
        </w:tc>
      </w:tr>
      <w:tr w:rsidR="00C21022" w:rsidRPr="00C21022" w14:paraId="69B19BAA" w14:textId="77777777" w:rsidTr="00A765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</w:tcBorders>
            <w:hideMark/>
          </w:tcPr>
          <w:p w14:paraId="13954F18" w14:textId="77777777" w:rsidR="00C21022" w:rsidRPr="00926DD6" w:rsidRDefault="00C21022" w:rsidP="000010CB">
            <w:pPr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>Extensão e Cultura</w:t>
            </w:r>
          </w:p>
        </w:tc>
        <w:tc>
          <w:tcPr>
            <w:tcW w:w="0" w:type="auto"/>
            <w:hideMark/>
          </w:tcPr>
          <w:p w14:paraId="6207FD65" w14:textId="08BBAD56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Extensão com participação comunitária em núcleos de performances, grupos de canto e instrumentos. </w:t>
            </w:r>
          </w:p>
          <w:p w14:paraId="3F37E7C2" w14:textId="0B4FEDBB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Valorização da música popular e ampliação da aceitação do repertório. </w:t>
            </w:r>
          </w:p>
          <w:p w14:paraId="70B493A9" w14:textId="145FE2F9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Oficinas, laboratórios e palestras promovidas pelo corpo docente de Composição e Regência. </w:t>
            </w:r>
          </w:p>
          <w:p w14:paraId="20FB9093" w14:textId="49DA9C76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Projetos de extensão, </w:t>
            </w:r>
            <w:proofErr w:type="spellStart"/>
            <w:r w:rsidRPr="00926DD6">
              <w:rPr>
                <w:rFonts w:ascii="Aptos Narrow" w:hAnsi="Aptos Narrow"/>
              </w:rPr>
              <w:t>ACEs</w:t>
            </w:r>
            <w:proofErr w:type="spellEnd"/>
            <w:r w:rsidRPr="00926DD6">
              <w:rPr>
                <w:rFonts w:ascii="Aptos Narrow" w:hAnsi="Aptos Narrow"/>
              </w:rPr>
              <w:t xml:space="preserve">, seminários, encontros e performances abertas ao público. </w:t>
            </w:r>
          </w:p>
          <w:p w14:paraId="2E9DBB81" w14:textId="77777777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Atividades fora do campus (visitas a ateliês, museus). </w:t>
            </w:r>
          </w:p>
        </w:tc>
        <w:tc>
          <w:tcPr>
            <w:tcW w:w="0" w:type="auto"/>
            <w:hideMark/>
          </w:tcPr>
          <w:p w14:paraId="742F1528" w14:textId="77777777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  <w:b/>
                <w:bCs/>
              </w:rPr>
              <w:t>Pilar Cultural da Comunidade.</w:t>
            </w:r>
            <w:r w:rsidRPr="00926DD6">
              <w:rPr>
                <w:rFonts w:ascii="Aptos Narrow" w:hAnsi="Aptos Narrow"/>
              </w:rPr>
              <w:t xml:space="preserve"> Consolida a identidade artística da instituição, aproximando a sociedade paranaense da produção musical e visual da universidade. </w:t>
            </w:r>
          </w:p>
        </w:tc>
        <w:tc>
          <w:tcPr>
            <w:tcW w:w="0" w:type="auto"/>
            <w:hideMark/>
          </w:tcPr>
          <w:p w14:paraId="4D4BA2CE" w14:textId="77777777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</w:t>
            </w:r>
            <w:r w:rsidRPr="00926DD6">
              <w:rPr>
                <w:rFonts w:ascii="Aptos Narrow" w:hAnsi="Aptos Narrow"/>
                <w:b/>
                <w:bCs/>
              </w:rPr>
              <w:t>Agenda Cultural da UNESPAR:</w:t>
            </w:r>
            <w:r w:rsidRPr="00926DD6">
              <w:rPr>
                <w:rFonts w:ascii="Aptos Narrow" w:hAnsi="Aptos Narrow"/>
              </w:rPr>
              <w:t xml:space="preserve"> Criação de um calendário público digital unificado para divulgar as performances e exposições. </w:t>
            </w:r>
          </w:p>
        </w:tc>
      </w:tr>
      <w:tr w:rsidR="00C21022" w:rsidRPr="00C21022" w14:paraId="5C208432" w14:textId="77777777" w:rsidTr="00A765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</w:tcBorders>
            <w:hideMark/>
          </w:tcPr>
          <w:p w14:paraId="5DADB900" w14:textId="77777777" w:rsidR="00C21022" w:rsidRPr="00926DD6" w:rsidRDefault="00C21022" w:rsidP="000010CB">
            <w:pPr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>Currículo e Formação</w:t>
            </w:r>
          </w:p>
        </w:tc>
        <w:tc>
          <w:tcPr>
            <w:tcW w:w="0" w:type="auto"/>
            <w:hideMark/>
          </w:tcPr>
          <w:p w14:paraId="6C9F1295" w14:textId="62B141F7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PPC do Bacharelado em Artes Visuais como prática inovadora com ampla gama de optativas. </w:t>
            </w:r>
          </w:p>
          <w:p w14:paraId="5BD59D37" w14:textId="724494C8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Práticas ACE como inovação para a qualidade da licenciatura. </w:t>
            </w:r>
          </w:p>
          <w:p w14:paraId="06F1FDAE" w14:textId="77777777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Aulas de extensão, monitoria e avaliações flexíveis criadas por docentes atentos e criativos. </w:t>
            </w:r>
          </w:p>
        </w:tc>
        <w:tc>
          <w:tcPr>
            <w:tcW w:w="0" w:type="auto"/>
            <w:hideMark/>
          </w:tcPr>
          <w:p w14:paraId="0C9DA760" w14:textId="77777777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  <w:b/>
                <w:bCs/>
              </w:rPr>
              <w:t>Inovação Curricular.</w:t>
            </w:r>
            <w:r w:rsidRPr="00926DD6">
              <w:rPr>
                <w:rFonts w:ascii="Aptos Narrow" w:hAnsi="Aptos Narrow"/>
              </w:rPr>
              <w:t xml:space="preserve"> A flexibilidade de optativas e formatos avaliativos eleva a satisfação acadêmica e moderniza a formação artística. </w:t>
            </w:r>
          </w:p>
        </w:tc>
        <w:tc>
          <w:tcPr>
            <w:tcW w:w="0" w:type="auto"/>
            <w:hideMark/>
          </w:tcPr>
          <w:p w14:paraId="172AB2F8" w14:textId="77777777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</w:t>
            </w:r>
            <w:r w:rsidRPr="00926DD6">
              <w:rPr>
                <w:rFonts w:ascii="Aptos Narrow" w:hAnsi="Aptos Narrow"/>
                <w:b/>
                <w:bCs/>
              </w:rPr>
              <w:t>Site Institucional:</w:t>
            </w:r>
            <w:r w:rsidRPr="00926DD6">
              <w:rPr>
                <w:rFonts w:ascii="Aptos Narrow" w:hAnsi="Aptos Narrow"/>
              </w:rPr>
              <w:t xml:space="preserve"> Entrevistas com coordenadores sobre o sucesso pedagógico do novo formato das licenciaturas e bacharelados. </w:t>
            </w:r>
          </w:p>
        </w:tc>
      </w:tr>
      <w:tr w:rsidR="00C21022" w:rsidRPr="00C21022" w14:paraId="3ED7BA32" w14:textId="77777777" w:rsidTr="00A765A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</w:tcBorders>
            <w:hideMark/>
          </w:tcPr>
          <w:p w14:paraId="667C6387" w14:textId="77777777" w:rsidR="00C21022" w:rsidRPr="00926DD6" w:rsidRDefault="00C21022" w:rsidP="000010CB">
            <w:pPr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lastRenderedPageBreak/>
              <w:t>Infraestrutura e Apoio</w:t>
            </w:r>
          </w:p>
        </w:tc>
        <w:tc>
          <w:tcPr>
            <w:tcW w:w="0" w:type="auto"/>
            <w:hideMark/>
          </w:tcPr>
          <w:p w14:paraId="4D032B6D" w14:textId="419AC6A2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Localização da faculdade considerada muito boa. </w:t>
            </w:r>
          </w:p>
          <w:p w14:paraId="2E68DF4A" w14:textId="7D8A11C7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Reforma estrutural que contribuiu para os estudos dos discentes. </w:t>
            </w:r>
          </w:p>
          <w:p w14:paraId="3D5B1E8E" w14:textId="01561957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Atendimento no CEDH e quadro docente completo. </w:t>
            </w:r>
          </w:p>
          <w:p w14:paraId="5850D257" w14:textId="0863EE5E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Ampliação de espaços para pesquisadores. </w:t>
            </w:r>
          </w:p>
          <w:p w14:paraId="7F59962E" w14:textId="77777777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Transparência na comunicação coordenação-estudantes e acolhimento da ouvidoria. </w:t>
            </w:r>
          </w:p>
        </w:tc>
        <w:tc>
          <w:tcPr>
            <w:tcW w:w="0" w:type="auto"/>
            <w:hideMark/>
          </w:tcPr>
          <w:p w14:paraId="2AE369F5" w14:textId="77777777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  <w:b/>
                <w:bCs/>
              </w:rPr>
              <w:t>Ambiente Conectado e Completo.</w:t>
            </w:r>
            <w:r w:rsidRPr="00926DD6">
              <w:rPr>
                <w:rFonts w:ascii="Aptos Narrow" w:hAnsi="Aptos Narrow"/>
              </w:rPr>
              <w:t xml:space="preserve"> O quadro docente completo e os canais abertos de escuta geram um clima de alta segurança institucional. </w:t>
            </w:r>
          </w:p>
        </w:tc>
        <w:tc>
          <w:tcPr>
            <w:tcW w:w="0" w:type="auto"/>
            <w:hideMark/>
          </w:tcPr>
          <w:p w14:paraId="7164B098" w14:textId="77777777" w:rsidR="00C21022" w:rsidRPr="00926DD6" w:rsidRDefault="00C21022" w:rsidP="000010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</w:t>
            </w:r>
            <w:r w:rsidRPr="00926DD6">
              <w:rPr>
                <w:rFonts w:ascii="Aptos Narrow" w:hAnsi="Aptos Narrow"/>
                <w:b/>
                <w:bCs/>
              </w:rPr>
              <w:t>Informativos Internos:</w:t>
            </w:r>
            <w:r w:rsidRPr="00926DD6">
              <w:rPr>
                <w:rFonts w:ascii="Aptos Narrow" w:hAnsi="Aptos Narrow"/>
              </w:rPr>
              <w:t xml:space="preserve"> Publicações com foco na transparência e nos canais de acolhimento disponíveis. </w:t>
            </w:r>
          </w:p>
        </w:tc>
      </w:tr>
      <w:tr w:rsidR="00C21022" w:rsidRPr="00C21022" w14:paraId="19396297" w14:textId="77777777" w:rsidTr="00A765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bottom w:val="none" w:sz="0" w:space="0" w:color="auto"/>
            </w:tcBorders>
            <w:hideMark/>
          </w:tcPr>
          <w:p w14:paraId="750ED71E" w14:textId="77777777" w:rsidR="00C21022" w:rsidRPr="00926DD6" w:rsidRDefault="00C21022" w:rsidP="000010CB">
            <w:pPr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>Permanência Estudantil</w:t>
            </w:r>
          </w:p>
        </w:tc>
        <w:tc>
          <w:tcPr>
            <w:tcW w:w="0" w:type="auto"/>
            <w:hideMark/>
          </w:tcPr>
          <w:p w14:paraId="555F9AA0" w14:textId="5DAAE5BE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Apoio estudantil por meio de núcleos de diversidade e auxílio alimentação. </w:t>
            </w:r>
          </w:p>
          <w:p w14:paraId="72026243" w14:textId="38BD4A31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Participação ativa do NESPI. </w:t>
            </w:r>
          </w:p>
          <w:p w14:paraId="3FA017FD" w14:textId="77777777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</w:t>
            </w:r>
            <w:proofErr w:type="spellStart"/>
            <w:r w:rsidRPr="00926DD6">
              <w:rPr>
                <w:rFonts w:ascii="Aptos Narrow" w:hAnsi="Aptos Narrow"/>
              </w:rPr>
              <w:t>PIBICs</w:t>
            </w:r>
            <w:proofErr w:type="spellEnd"/>
            <w:r w:rsidRPr="00926DD6">
              <w:rPr>
                <w:rFonts w:ascii="Aptos Narrow" w:hAnsi="Aptos Narrow"/>
              </w:rPr>
              <w:t xml:space="preserve">, bolsas e programas de permanência estudantil. </w:t>
            </w:r>
          </w:p>
        </w:tc>
        <w:tc>
          <w:tcPr>
            <w:tcW w:w="0" w:type="auto"/>
            <w:hideMark/>
          </w:tcPr>
          <w:p w14:paraId="7BC51A06" w14:textId="77777777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  <w:b/>
                <w:bCs/>
              </w:rPr>
              <w:t>Sustentabilidade Acadêmica.</w:t>
            </w:r>
            <w:r w:rsidRPr="00926DD6">
              <w:rPr>
                <w:rFonts w:ascii="Aptos Narrow" w:hAnsi="Aptos Narrow"/>
              </w:rPr>
              <w:t xml:space="preserve"> Garante que os talentos artísticos de baixa renda consigam se manter focados na sua produção acadêmica. </w:t>
            </w:r>
          </w:p>
        </w:tc>
        <w:tc>
          <w:tcPr>
            <w:tcW w:w="0" w:type="auto"/>
            <w:hideMark/>
          </w:tcPr>
          <w:p w14:paraId="53846592" w14:textId="77777777" w:rsidR="00C21022" w:rsidRPr="00926DD6" w:rsidRDefault="00C21022" w:rsidP="000010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926DD6">
              <w:rPr>
                <w:rFonts w:ascii="Aptos Narrow" w:hAnsi="Aptos Narrow"/>
              </w:rPr>
              <w:t xml:space="preserve">• </w:t>
            </w:r>
            <w:r w:rsidRPr="00926DD6">
              <w:rPr>
                <w:rFonts w:ascii="Aptos Narrow" w:hAnsi="Aptos Narrow"/>
                <w:b/>
                <w:bCs/>
              </w:rPr>
              <w:t>Redes Sociais:</w:t>
            </w:r>
            <w:r w:rsidRPr="00926DD6">
              <w:rPr>
                <w:rFonts w:ascii="Aptos Narrow" w:hAnsi="Aptos Narrow"/>
              </w:rPr>
              <w:t xml:space="preserve"> Histórias de sucesso de alunos bolsistas do PIBIC ou apoiados pelos núcleos de diversidade. </w:t>
            </w:r>
          </w:p>
        </w:tc>
      </w:tr>
    </w:tbl>
    <w:p w14:paraId="35ABFA4D" w14:textId="77777777" w:rsidR="00C919E8" w:rsidRDefault="00C919E8"/>
    <w:sectPr w:rsidR="00C919E8" w:rsidSect="00A765A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BDB"/>
    <w:rsid w:val="000010CB"/>
    <w:rsid w:val="000571D0"/>
    <w:rsid w:val="001951A0"/>
    <w:rsid w:val="001D1963"/>
    <w:rsid w:val="003C7F59"/>
    <w:rsid w:val="00442115"/>
    <w:rsid w:val="004A1538"/>
    <w:rsid w:val="00515B02"/>
    <w:rsid w:val="00657AC5"/>
    <w:rsid w:val="00684FC4"/>
    <w:rsid w:val="006A6475"/>
    <w:rsid w:val="006A7889"/>
    <w:rsid w:val="00707563"/>
    <w:rsid w:val="00787F45"/>
    <w:rsid w:val="007B1B0A"/>
    <w:rsid w:val="008059E0"/>
    <w:rsid w:val="00873AD9"/>
    <w:rsid w:val="00897BDB"/>
    <w:rsid w:val="008A636E"/>
    <w:rsid w:val="008B7D57"/>
    <w:rsid w:val="008C1DBA"/>
    <w:rsid w:val="008E559C"/>
    <w:rsid w:val="008F74B0"/>
    <w:rsid w:val="00925D4B"/>
    <w:rsid w:val="00926DD6"/>
    <w:rsid w:val="00986C11"/>
    <w:rsid w:val="00994269"/>
    <w:rsid w:val="00A50340"/>
    <w:rsid w:val="00A765AD"/>
    <w:rsid w:val="00AE3E54"/>
    <w:rsid w:val="00BB395F"/>
    <w:rsid w:val="00BE0BF7"/>
    <w:rsid w:val="00C21022"/>
    <w:rsid w:val="00C919E8"/>
    <w:rsid w:val="00DB6B59"/>
    <w:rsid w:val="00E2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F6CFB"/>
  <w15:chartTrackingRefBased/>
  <w15:docId w15:val="{0A70E739-8FBF-4AD3-A14B-77B85320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0CB"/>
    <w:pPr>
      <w:spacing w:after="0" w:line="240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994269"/>
    <w:pPr>
      <w:keepNext/>
      <w:keepLines/>
      <w:jc w:val="center"/>
      <w:outlineLvl w:val="0"/>
    </w:pPr>
    <w:rPr>
      <w:rFonts w:ascii="Aptos Narrow" w:eastAsiaTheme="majorEastAsia" w:hAnsi="Aptos Narrow" w:cstheme="majorBidi"/>
      <w:b/>
      <w:color w:val="000000" w:themeColor="text1"/>
      <w:sz w:val="28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97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97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97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97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97B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97B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97B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97B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94269"/>
    <w:rPr>
      <w:rFonts w:ascii="Aptos Narrow" w:eastAsiaTheme="majorEastAsia" w:hAnsi="Aptos Narrow" w:cstheme="majorBidi"/>
      <w:b/>
      <w:color w:val="000000" w:themeColor="text1"/>
      <w:sz w:val="28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97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97B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97B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97BD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97B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97BD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97B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97B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97B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97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7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97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97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97BD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97BD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97BD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97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97BD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97BDB"/>
    <w:rPr>
      <w:b/>
      <w:bCs/>
      <w:smallCaps/>
      <w:color w:val="0F4761" w:themeColor="accent1" w:themeShade="BF"/>
      <w:spacing w:val="5"/>
    </w:rPr>
  </w:style>
  <w:style w:type="table" w:styleId="TabeladeGrade5Escura-nfase6">
    <w:name w:val="Grid Table 5 Dark Accent 6"/>
    <w:basedOn w:val="Tabelanormal"/>
    <w:uiPriority w:val="50"/>
    <w:rsid w:val="00897BD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character" w:styleId="Forte">
    <w:name w:val="Strong"/>
    <w:basedOn w:val="Fontepargpadro"/>
    <w:uiPriority w:val="22"/>
    <w:qFormat/>
    <w:rsid w:val="00C2102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2102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itation-480">
    <w:name w:val="citation-480"/>
    <w:basedOn w:val="Fontepargpadro"/>
    <w:rsid w:val="00C21022"/>
  </w:style>
  <w:style w:type="character" w:customStyle="1" w:styleId="citation-479">
    <w:name w:val="citation-479"/>
    <w:basedOn w:val="Fontepargpadro"/>
    <w:rsid w:val="00C21022"/>
  </w:style>
  <w:style w:type="character" w:customStyle="1" w:styleId="citation-478">
    <w:name w:val="citation-478"/>
    <w:basedOn w:val="Fontepargpadro"/>
    <w:rsid w:val="00C21022"/>
  </w:style>
  <w:style w:type="character" w:customStyle="1" w:styleId="citation-477">
    <w:name w:val="citation-477"/>
    <w:basedOn w:val="Fontepargpadro"/>
    <w:rsid w:val="00C21022"/>
  </w:style>
  <w:style w:type="character" w:customStyle="1" w:styleId="citation-476">
    <w:name w:val="citation-476"/>
    <w:basedOn w:val="Fontepargpadro"/>
    <w:rsid w:val="00C21022"/>
  </w:style>
  <w:style w:type="character" w:customStyle="1" w:styleId="citation-475">
    <w:name w:val="citation-475"/>
    <w:basedOn w:val="Fontepargpadro"/>
    <w:rsid w:val="00C21022"/>
  </w:style>
  <w:style w:type="character" w:customStyle="1" w:styleId="citation-474">
    <w:name w:val="citation-474"/>
    <w:basedOn w:val="Fontepargpadro"/>
    <w:rsid w:val="00C21022"/>
  </w:style>
  <w:style w:type="character" w:customStyle="1" w:styleId="citation-473">
    <w:name w:val="citation-473"/>
    <w:basedOn w:val="Fontepargpadro"/>
    <w:rsid w:val="00C21022"/>
  </w:style>
  <w:style w:type="character" w:customStyle="1" w:styleId="citation-472">
    <w:name w:val="citation-472"/>
    <w:basedOn w:val="Fontepargpadro"/>
    <w:rsid w:val="00C21022"/>
  </w:style>
  <w:style w:type="character" w:customStyle="1" w:styleId="citation-471">
    <w:name w:val="citation-471"/>
    <w:basedOn w:val="Fontepargpadro"/>
    <w:rsid w:val="00C21022"/>
  </w:style>
  <w:style w:type="character" w:customStyle="1" w:styleId="citation-470">
    <w:name w:val="citation-470"/>
    <w:basedOn w:val="Fontepargpadro"/>
    <w:rsid w:val="00C21022"/>
  </w:style>
  <w:style w:type="character" w:customStyle="1" w:styleId="citation-469">
    <w:name w:val="citation-469"/>
    <w:basedOn w:val="Fontepargpadro"/>
    <w:rsid w:val="00C21022"/>
  </w:style>
  <w:style w:type="character" w:customStyle="1" w:styleId="citation-468">
    <w:name w:val="citation-468"/>
    <w:basedOn w:val="Fontepargpadro"/>
    <w:rsid w:val="00C21022"/>
  </w:style>
  <w:style w:type="character" w:customStyle="1" w:styleId="citation-467">
    <w:name w:val="citation-467"/>
    <w:basedOn w:val="Fontepargpadro"/>
    <w:rsid w:val="00C21022"/>
  </w:style>
  <w:style w:type="character" w:customStyle="1" w:styleId="citation-466">
    <w:name w:val="citation-466"/>
    <w:basedOn w:val="Fontepargpadro"/>
    <w:rsid w:val="00C21022"/>
  </w:style>
  <w:style w:type="paragraph" w:styleId="CabealhodoSumrio">
    <w:name w:val="TOC Heading"/>
    <w:basedOn w:val="Ttulo1"/>
    <w:next w:val="Normal"/>
    <w:uiPriority w:val="39"/>
    <w:unhideWhenUsed/>
    <w:qFormat/>
    <w:rsid w:val="00926DD6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0F4761" w:themeColor="accent1" w:themeShade="BF"/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926DD6"/>
    <w:pPr>
      <w:spacing w:after="100"/>
    </w:pPr>
  </w:style>
  <w:style w:type="character" w:styleId="Hyperlink">
    <w:name w:val="Hyperlink"/>
    <w:basedOn w:val="Fontepargpadro"/>
    <w:uiPriority w:val="99"/>
    <w:unhideWhenUsed/>
    <w:rsid w:val="00926DD6"/>
    <w:rPr>
      <w:color w:val="467886" w:themeColor="hyperlink"/>
      <w:u w:val="single"/>
    </w:rPr>
  </w:style>
  <w:style w:type="table" w:styleId="TabeladeGrade7Colorida-nfase6">
    <w:name w:val="Grid Table 7 Colorful Accent 6"/>
    <w:basedOn w:val="Tabelanormal"/>
    <w:uiPriority w:val="52"/>
    <w:rsid w:val="00986C11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3226B-33AD-40AA-9BEE-165EECA8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Antenogines.Pedroso - Unespar Apucarana</dc:creator>
  <cp:keywords/>
  <dc:description/>
  <cp:lastModifiedBy>Antenogines.Pedroso - Unespar Apucarana</cp:lastModifiedBy>
  <cp:revision>3</cp:revision>
  <dcterms:created xsi:type="dcterms:W3CDTF">2026-06-10T17:50:00Z</dcterms:created>
  <dcterms:modified xsi:type="dcterms:W3CDTF">2026-06-10T17:55:00Z</dcterms:modified>
</cp:coreProperties>
</file>