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FA4D" w14:textId="77777777" w:rsidR="00C919E8" w:rsidRDefault="00C919E8"/>
    <w:tbl>
      <w:tblPr>
        <w:tblStyle w:val="TabeladeGrade5Escura-nfase6"/>
        <w:tblW w:w="15308" w:type="dxa"/>
        <w:jc w:val="center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811"/>
        <w:gridCol w:w="4592"/>
        <w:gridCol w:w="5285"/>
        <w:gridCol w:w="3620"/>
      </w:tblGrid>
      <w:tr w:rsidR="00C21022" w:rsidRPr="00986C11" w14:paraId="38DB5DD7" w14:textId="77777777" w:rsidTr="00A7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D9FDC83" w14:textId="7A55DEAA" w:rsidR="00C21022" w:rsidRPr="00986C11" w:rsidRDefault="00C21022" w:rsidP="00986C11">
            <w:pPr>
              <w:pStyle w:val="Ttulo1"/>
            </w:pPr>
            <w:bookmarkStart w:id="0" w:name="_Toc231892949"/>
            <w:r w:rsidRPr="00986C11">
              <w:t>CURITIBA II - Avaliação Institucional 2025 (docentes e discentes)</w:t>
            </w:r>
            <w:bookmarkEnd w:id="0"/>
          </w:p>
        </w:tc>
      </w:tr>
      <w:tr w:rsidR="00442115" w:rsidRPr="00873AD9" w14:paraId="77B18F7C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left w:val="none" w:sz="0" w:space="0" w:color="auto"/>
            </w:tcBorders>
          </w:tcPr>
          <w:p w14:paraId="32FB8F34" w14:textId="77777777" w:rsidR="00442115" w:rsidRPr="00926DD6" w:rsidRDefault="00442115" w:rsidP="0005534C">
            <w:pPr>
              <w:jc w:val="center"/>
              <w:rPr>
                <w:rFonts w:ascii="Aptos Narrow" w:hAnsi="Aptos Narrow"/>
                <w:b w:val="0"/>
                <w:bCs w:val="0"/>
              </w:rPr>
            </w:pPr>
            <w:r w:rsidRPr="00926DD6">
              <w:rPr>
                <w:rFonts w:ascii="Aptos Narrow" w:hAnsi="Aptos Narrow"/>
                <w:b w:val="0"/>
                <w:bCs w:val="0"/>
              </w:rPr>
              <w:t xml:space="preserve">Matriz de Impacto das </w:t>
            </w:r>
            <w:r w:rsidRPr="00926DD6">
              <w:rPr>
                <w:rFonts w:ascii="Aptos Narrow" w:hAnsi="Aptos Narrow"/>
              </w:rPr>
              <w:t>Práticas Consolidadas pela Direção do campus</w:t>
            </w:r>
            <w:r w:rsidRPr="00926DD6">
              <w:rPr>
                <w:rFonts w:ascii="Aptos Narrow" w:hAnsi="Aptos Narrow"/>
                <w:b w:val="0"/>
                <w:bCs w:val="0"/>
              </w:rPr>
              <w:t xml:space="preserve"> - Potencialidades</w:t>
            </w:r>
          </w:p>
        </w:tc>
      </w:tr>
      <w:tr w:rsidR="00C21022" w:rsidRPr="00C21022" w14:paraId="1E32C146" w14:textId="77777777" w:rsidTr="00C919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left w:val="none" w:sz="0" w:space="0" w:color="auto"/>
            </w:tcBorders>
            <w:hideMark/>
          </w:tcPr>
          <w:p w14:paraId="52ABD4A6" w14:textId="77777777" w:rsidR="00C21022" w:rsidRPr="00926DD6" w:rsidRDefault="00C21022" w:rsidP="000010CB">
            <w:pPr>
              <w:rPr>
                <w:rFonts w:ascii="Aptos Narrow" w:hAnsi="Aptos Narrow"/>
                <w:b w:val="0"/>
                <w:bCs w:val="0"/>
                <w:color w:val="000000" w:themeColor="text1"/>
              </w:rPr>
            </w:pPr>
            <w:r w:rsidRPr="00926DD6">
              <w:rPr>
                <w:rFonts w:ascii="Aptos Narrow" w:hAnsi="Aptos Narrow"/>
                <w:color w:val="000000" w:themeColor="text1"/>
              </w:rPr>
              <w:t>Área / Eixo</w:t>
            </w:r>
          </w:p>
        </w:tc>
        <w:tc>
          <w:tcPr>
            <w:tcW w:w="4496" w:type="dxa"/>
            <w:hideMark/>
          </w:tcPr>
          <w:p w14:paraId="2509D274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 xml:space="preserve">Ação Implementada </w:t>
            </w:r>
          </w:p>
        </w:tc>
        <w:tc>
          <w:tcPr>
            <w:tcW w:w="5150" w:type="dxa"/>
            <w:hideMark/>
          </w:tcPr>
          <w:p w14:paraId="04DB601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Impacto Acadêmico e Institucional</w:t>
            </w:r>
          </w:p>
        </w:tc>
        <w:tc>
          <w:tcPr>
            <w:tcW w:w="3833" w:type="dxa"/>
            <w:hideMark/>
          </w:tcPr>
          <w:p w14:paraId="6F01414B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Canal de Divulgação Sugerido</w:t>
            </w:r>
          </w:p>
        </w:tc>
      </w:tr>
      <w:tr w:rsidR="00C21022" w:rsidRPr="00C21022" w14:paraId="6B3A1FD8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76CC8257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Inclusão e CEDH</w:t>
            </w:r>
          </w:p>
        </w:tc>
        <w:tc>
          <w:tcPr>
            <w:tcW w:w="0" w:type="auto"/>
            <w:hideMark/>
          </w:tcPr>
          <w:p w14:paraId="1EB14D53" w14:textId="6FBCFEF9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Contratação de profissionais de AEE e atendimento individualizado (NESPI e CEDH). </w:t>
            </w:r>
          </w:p>
          <w:p w14:paraId="2577E542" w14:textId="38F1A63F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Avaliação pedagógica e adaptação curricular/avaliativa para </w:t>
            </w:r>
            <w:proofErr w:type="spellStart"/>
            <w:r w:rsidRPr="00926DD6">
              <w:rPr>
                <w:rFonts w:ascii="Aptos Narrow" w:hAnsi="Aptos Narrow"/>
              </w:rPr>
              <w:t>PcD</w:t>
            </w:r>
            <w:proofErr w:type="spellEnd"/>
            <w:r w:rsidRPr="00926DD6">
              <w:rPr>
                <w:rFonts w:ascii="Aptos Narrow" w:hAnsi="Aptos Narrow"/>
              </w:rPr>
              <w:t xml:space="preserve"> e neurodivergentes. </w:t>
            </w:r>
          </w:p>
          <w:p w14:paraId="1B186BF7" w14:textId="58843613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Implementação de </w:t>
            </w:r>
            <w:proofErr w:type="spellStart"/>
            <w:r w:rsidRPr="00926DD6">
              <w:rPr>
                <w:rFonts w:ascii="Aptos Narrow" w:hAnsi="Aptos Narrow"/>
              </w:rPr>
              <w:t>PEIs</w:t>
            </w:r>
            <w:proofErr w:type="spellEnd"/>
            <w:r w:rsidRPr="00926DD6">
              <w:rPr>
                <w:rFonts w:ascii="Aptos Narrow" w:hAnsi="Aptos Narrow"/>
              </w:rPr>
              <w:t xml:space="preserve"> (Plano Educacional </w:t>
            </w:r>
            <w:r w:rsidR="00841B92">
              <w:rPr>
                <w:rFonts w:ascii="Aptos Narrow" w:hAnsi="Aptos Narrow"/>
              </w:rPr>
              <w:t>Individualizado</w:t>
            </w:r>
            <w:r w:rsidRPr="00926DD6">
              <w:rPr>
                <w:rFonts w:ascii="Aptos Narrow" w:hAnsi="Aptos Narrow"/>
              </w:rPr>
              <w:t xml:space="preserve">). </w:t>
            </w:r>
          </w:p>
          <w:p w14:paraId="00DDB0E5" w14:textId="046A4DF4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• Comitê de apoio a pessoas em risco, Programa CEDH Acolhe, Núcleos NERG, NERA e Especial Inclusiva</w:t>
            </w:r>
            <w:r w:rsidR="00BE0BF7" w:rsidRPr="00926DD6">
              <w:rPr>
                <w:rFonts w:ascii="Aptos Narrow" w:hAnsi="Aptos Narrow"/>
              </w:rPr>
              <w:t>.</w:t>
            </w:r>
            <w:r w:rsidRPr="00926DD6">
              <w:rPr>
                <w:rFonts w:ascii="Aptos Narrow" w:hAnsi="Aptos Narrow"/>
              </w:rPr>
              <w:t xml:space="preserve"> </w:t>
            </w:r>
          </w:p>
          <w:p w14:paraId="1CE96BC8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Regulamentação de inclusão e políticas de ingresso e permanência. </w:t>
            </w:r>
          </w:p>
        </w:tc>
        <w:tc>
          <w:tcPr>
            <w:tcW w:w="0" w:type="auto"/>
            <w:hideMark/>
          </w:tcPr>
          <w:p w14:paraId="41D8A030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Ecossistema de Inclusão de Alta Performance.</w:t>
            </w:r>
            <w:r w:rsidRPr="00926DD6">
              <w:rPr>
                <w:rFonts w:ascii="Aptos Narrow" w:hAnsi="Aptos Narrow"/>
              </w:rPr>
              <w:t xml:space="preserve"> A institucionalização de comitês de apoio e núcleos de gênero, etnia e diversidade coloca o campus em patamar de destaque nacional em direitos humanos. </w:t>
            </w:r>
          </w:p>
        </w:tc>
        <w:tc>
          <w:tcPr>
            <w:tcW w:w="0" w:type="auto"/>
            <w:hideMark/>
          </w:tcPr>
          <w:p w14:paraId="2E8624AF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E-books / Artigos Científicos:</w:t>
            </w:r>
            <w:r w:rsidRPr="00926DD6">
              <w:rPr>
                <w:rFonts w:ascii="Aptos Narrow" w:hAnsi="Aptos Narrow"/>
              </w:rPr>
              <w:t xml:space="preserve"> Publicar as metodologias e normativas do programa CEDH Acolhe como modelo institucional da UNESPAR. </w:t>
            </w:r>
          </w:p>
        </w:tc>
      </w:tr>
      <w:tr w:rsidR="00C21022" w:rsidRPr="00C21022" w14:paraId="45786C11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FE48C3E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Currículo e Metodologias</w:t>
            </w:r>
          </w:p>
        </w:tc>
        <w:tc>
          <w:tcPr>
            <w:tcW w:w="0" w:type="auto"/>
            <w:hideMark/>
          </w:tcPr>
          <w:p w14:paraId="6DE4FA37" w14:textId="30F13E7C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Reestruturação periódica do PPC de Música Popular e revisão sistemática de PPCs e </w:t>
            </w:r>
            <w:proofErr w:type="spellStart"/>
            <w:r w:rsidRPr="00926DD6">
              <w:rPr>
                <w:rFonts w:ascii="Aptos Narrow" w:hAnsi="Aptos Narrow"/>
              </w:rPr>
              <w:t>TCCs</w:t>
            </w:r>
            <w:proofErr w:type="spellEnd"/>
            <w:r w:rsidRPr="00926DD6">
              <w:rPr>
                <w:rFonts w:ascii="Aptos Narrow" w:hAnsi="Aptos Narrow"/>
              </w:rPr>
              <w:t xml:space="preserve">. </w:t>
            </w:r>
          </w:p>
          <w:p w14:paraId="73BB93DB" w14:textId="09CA4E2C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• Constante atualização curricular e disciplinas integradas transdisciplinares.</w:t>
            </w:r>
          </w:p>
          <w:p w14:paraId="4E0A0984" w14:textId="0BF7DA4F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Sistema modular inovador no curso de Cinema. </w:t>
            </w:r>
          </w:p>
          <w:p w14:paraId="33B6C851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Uso de diferentes metodologias de ensino, projetos, portfólios e exposições. </w:t>
            </w:r>
          </w:p>
        </w:tc>
        <w:tc>
          <w:tcPr>
            <w:tcW w:w="0" w:type="auto"/>
            <w:hideMark/>
          </w:tcPr>
          <w:p w14:paraId="062F8ECA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Inovação no Ensino de Artes e Cinema.</w:t>
            </w:r>
            <w:r w:rsidRPr="00926DD6">
              <w:rPr>
                <w:rFonts w:ascii="Aptos Narrow" w:hAnsi="Aptos Narrow"/>
              </w:rPr>
              <w:t xml:space="preserve"> O sistema modular e a transdisciplinaridade geram portfólios artísticos ricos, conectando o aluno ao mercado audiovisual e cultural contemporâneo. </w:t>
            </w:r>
          </w:p>
        </w:tc>
        <w:tc>
          <w:tcPr>
            <w:tcW w:w="0" w:type="auto"/>
            <w:hideMark/>
          </w:tcPr>
          <w:p w14:paraId="69859A2C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Mostras de Cinema e Artes:</w:t>
            </w:r>
            <w:r w:rsidRPr="00926DD6">
              <w:rPr>
                <w:rFonts w:ascii="Aptos Narrow" w:hAnsi="Aptos Narrow"/>
              </w:rPr>
              <w:t xml:space="preserve"> Divulgação externa das produções modulares dos estudantes nos canais de comunicação da cidade. </w:t>
            </w:r>
          </w:p>
        </w:tc>
      </w:tr>
      <w:tr w:rsidR="00C21022" w:rsidRPr="00C21022" w14:paraId="20EF3700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37D69919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Pesquisa e Extensão</w:t>
            </w:r>
          </w:p>
        </w:tc>
        <w:tc>
          <w:tcPr>
            <w:tcW w:w="0" w:type="auto"/>
            <w:hideMark/>
          </w:tcPr>
          <w:p w14:paraId="3EBC3484" w14:textId="20C367FA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Incentivo à pesquisa acadêmica (PIBIC e PIBID) e projetos de iniciação científica/tecnológica. </w:t>
            </w:r>
          </w:p>
          <w:p w14:paraId="4CC43D8C" w14:textId="45F59FE8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Integração ensino-pesquisa-extensão com temas alinhados à atualidade. </w:t>
            </w:r>
          </w:p>
          <w:p w14:paraId="2939C8D8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Cursos de extensão, bolsas de monitoria e exposições/residências artísticas. </w:t>
            </w:r>
          </w:p>
        </w:tc>
        <w:tc>
          <w:tcPr>
            <w:tcW w:w="0" w:type="auto"/>
            <w:hideMark/>
          </w:tcPr>
          <w:p w14:paraId="28DAC842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Produção Intelectual Conectada.</w:t>
            </w:r>
            <w:r w:rsidRPr="00926DD6">
              <w:rPr>
                <w:rFonts w:ascii="Aptos Narrow" w:hAnsi="Aptos Narrow"/>
              </w:rPr>
              <w:t xml:space="preserve"> Garante que as reflexões teóricas das artes dialoguem de forma direta com as questões e crises do tempo presente. </w:t>
            </w:r>
          </w:p>
        </w:tc>
        <w:tc>
          <w:tcPr>
            <w:tcW w:w="0" w:type="auto"/>
            <w:hideMark/>
          </w:tcPr>
          <w:p w14:paraId="6C4151E2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LinkedIn e Site do Campus:</w:t>
            </w:r>
            <w:r w:rsidRPr="00926DD6">
              <w:rPr>
                <w:rFonts w:ascii="Aptos Narrow" w:hAnsi="Aptos Narrow"/>
              </w:rPr>
              <w:t xml:space="preserve"> Vitrine digital para divulgar os editais de monitoria e o alcance social das residências artísticas. </w:t>
            </w:r>
          </w:p>
        </w:tc>
      </w:tr>
      <w:tr w:rsidR="00C21022" w:rsidRPr="00C21022" w14:paraId="5365C8B5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</w:tcBorders>
            <w:hideMark/>
          </w:tcPr>
          <w:p w14:paraId="141DC40F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Espaços Culturais e Práticas</w:t>
            </w:r>
          </w:p>
        </w:tc>
        <w:tc>
          <w:tcPr>
            <w:tcW w:w="0" w:type="auto"/>
            <w:hideMark/>
          </w:tcPr>
          <w:p w14:paraId="54F72ABF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• Projetos práticos como Ateliê de Confecção de Elementos da Cena que inaugurou o LATA (Laboratório de Teatro de Animação e Visualidades da Cena</w:t>
            </w:r>
            <w:proofErr w:type="gramStart"/>
            <w:r w:rsidRPr="00926DD6">
              <w:rPr>
                <w:rFonts w:ascii="Aptos Narrow" w:hAnsi="Aptos Narrow"/>
              </w:rPr>
              <w:t>) .</w:t>
            </w:r>
            <w:proofErr w:type="gramEnd"/>
            <w:r w:rsidRPr="00926DD6">
              <w:rPr>
                <w:rFonts w:ascii="Aptos Narrow" w:hAnsi="Aptos Narrow"/>
              </w:rPr>
              <w:t xml:space="preserve"> </w:t>
            </w:r>
          </w:p>
          <w:p w14:paraId="27792E62" w14:textId="640950A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 xml:space="preserve">• Laboratório experimental, compra de equipamentos, itens para a faculdade e uso de softwares para música. </w:t>
            </w:r>
          </w:p>
          <w:p w14:paraId="4CEF5901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Solicitação constante de feedback dos alunos. </w:t>
            </w:r>
          </w:p>
        </w:tc>
        <w:tc>
          <w:tcPr>
            <w:tcW w:w="0" w:type="auto"/>
            <w:hideMark/>
          </w:tcPr>
          <w:p w14:paraId="15365ECC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lastRenderedPageBreak/>
              <w:t>Consolidação de Espaços Cênicos.</w:t>
            </w:r>
            <w:r w:rsidRPr="00926DD6">
              <w:rPr>
                <w:rFonts w:ascii="Aptos Narrow" w:hAnsi="Aptos Narrow"/>
              </w:rPr>
              <w:t xml:space="preserve"> A inauguração do LATA expande de forma grandiosa a capacidade técnica das aulas de artes cênicas e cenografia. </w:t>
            </w:r>
          </w:p>
        </w:tc>
        <w:tc>
          <w:tcPr>
            <w:tcW w:w="0" w:type="auto"/>
            <w:hideMark/>
          </w:tcPr>
          <w:p w14:paraId="61DF6D0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Cobertura Fotográfica / Redes:</w:t>
            </w:r>
            <w:r w:rsidRPr="00926DD6">
              <w:rPr>
                <w:rFonts w:ascii="Aptos Narrow" w:hAnsi="Aptos Narrow"/>
              </w:rPr>
              <w:t xml:space="preserve"> Postagens interativas apresentando o novo Laboratório LATA e as produções do Ateliê. </w:t>
            </w:r>
          </w:p>
        </w:tc>
      </w:tr>
    </w:tbl>
    <w:p w14:paraId="6E6AD0A6" w14:textId="77777777" w:rsidR="00C919E8" w:rsidRDefault="00C919E8"/>
    <w:sectPr w:rsidR="00C919E8" w:rsidSect="00A765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B"/>
    <w:rsid w:val="000010CB"/>
    <w:rsid w:val="001951A0"/>
    <w:rsid w:val="001D1963"/>
    <w:rsid w:val="003C7F59"/>
    <w:rsid w:val="00405C51"/>
    <w:rsid w:val="00442115"/>
    <w:rsid w:val="004A1538"/>
    <w:rsid w:val="00515B02"/>
    <w:rsid w:val="00657AC5"/>
    <w:rsid w:val="00684FC4"/>
    <w:rsid w:val="006A6475"/>
    <w:rsid w:val="006A7889"/>
    <w:rsid w:val="00707563"/>
    <w:rsid w:val="00787F45"/>
    <w:rsid w:val="007B1B0A"/>
    <w:rsid w:val="008059E0"/>
    <w:rsid w:val="00841B92"/>
    <w:rsid w:val="00873AD9"/>
    <w:rsid w:val="00897BDB"/>
    <w:rsid w:val="008A636E"/>
    <w:rsid w:val="008B7D57"/>
    <w:rsid w:val="008C1DBA"/>
    <w:rsid w:val="008E559C"/>
    <w:rsid w:val="008F74B0"/>
    <w:rsid w:val="00913F2E"/>
    <w:rsid w:val="00925D4B"/>
    <w:rsid w:val="00926DD6"/>
    <w:rsid w:val="00986C11"/>
    <w:rsid w:val="00994269"/>
    <w:rsid w:val="00A50340"/>
    <w:rsid w:val="00A765AD"/>
    <w:rsid w:val="00AE3E54"/>
    <w:rsid w:val="00B009E1"/>
    <w:rsid w:val="00BB395F"/>
    <w:rsid w:val="00BE0BF7"/>
    <w:rsid w:val="00C21022"/>
    <w:rsid w:val="00C919E8"/>
    <w:rsid w:val="00DB6B59"/>
    <w:rsid w:val="00E2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FB"/>
  <w15:chartTrackingRefBased/>
  <w15:docId w15:val="{0A70E739-8FBF-4AD3-A14B-77B8532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CB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94269"/>
    <w:pPr>
      <w:keepNext/>
      <w:keepLines/>
      <w:jc w:val="center"/>
      <w:outlineLvl w:val="0"/>
    </w:pPr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69"/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B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B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B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B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B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B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BDB"/>
    <w:rPr>
      <w:b/>
      <w:bCs/>
      <w:smallCaps/>
      <w:color w:val="0F4761" w:themeColor="accent1" w:themeShade="BF"/>
      <w:spacing w:val="5"/>
    </w:rPr>
  </w:style>
  <w:style w:type="table" w:styleId="TabeladeGrade5Escura-nfase6">
    <w:name w:val="Grid Table 5 Dark Accent 6"/>
    <w:basedOn w:val="Tabelanormal"/>
    <w:uiPriority w:val="50"/>
    <w:rsid w:val="00897B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character" w:styleId="Forte">
    <w:name w:val="Strong"/>
    <w:basedOn w:val="Fontepargpadro"/>
    <w:uiPriority w:val="22"/>
    <w:qFormat/>
    <w:rsid w:val="00C2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0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480">
    <w:name w:val="citation-480"/>
    <w:basedOn w:val="Fontepargpadro"/>
    <w:rsid w:val="00C21022"/>
  </w:style>
  <w:style w:type="character" w:customStyle="1" w:styleId="citation-479">
    <w:name w:val="citation-479"/>
    <w:basedOn w:val="Fontepargpadro"/>
    <w:rsid w:val="00C21022"/>
  </w:style>
  <w:style w:type="character" w:customStyle="1" w:styleId="citation-478">
    <w:name w:val="citation-478"/>
    <w:basedOn w:val="Fontepargpadro"/>
    <w:rsid w:val="00C21022"/>
  </w:style>
  <w:style w:type="character" w:customStyle="1" w:styleId="citation-477">
    <w:name w:val="citation-477"/>
    <w:basedOn w:val="Fontepargpadro"/>
    <w:rsid w:val="00C21022"/>
  </w:style>
  <w:style w:type="character" w:customStyle="1" w:styleId="citation-476">
    <w:name w:val="citation-476"/>
    <w:basedOn w:val="Fontepargpadro"/>
    <w:rsid w:val="00C21022"/>
  </w:style>
  <w:style w:type="character" w:customStyle="1" w:styleId="citation-475">
    <w:name w:val="citation-475"/>
    <w:basedOn w:val="Fontepargpadro"/>
    <w:rsid w:val="00C21022"/>
  </w:style>
  <w:style w:type="character" w:customStyle="1" w:styleId="citation-474">
    <w:name w:val="citation-474"/>
    <w:basedOn w:val="Fontepargpadro"/>
    <w:rsid w:val="00C21022"/>
  </w:style>
  <w:style w:type="character" w:customStyle="1" w:styleId="citation-473">
    <w:name w:val="citation-473"/>
    <w:basedOn w:val="Fontepargpadro"/>
    <w:rsid w:val="00C21022"/>
  </w:style>
  <w:style w:type="character" w:customStyle="1" w:styleId="citation-472">
    <w:name w:val="citation-472"/>
    <w:basedOn w:val="Fontepargpadro"/>
    <w:rsid w:val="00C21022"/>
  </w:style>
  <w:style w:type="character" w:customStyle="1" w:styleId="citation-471">
    <w:name w:val="citation-471"/>
    <w:basedOn w:val="Fontepargpadro"/>
    <w:rsid w:val="00C21022"/>
  </w:style>
  <w:style w:type="character" w:customStyle="1" w:styleId="citation-470">
    <w:name w:val="citation-470"/>
    <w:basedOn w:val="Fontepargpadro"/>
    <w:rsid w:val="00C21022"/>
  </w:style>
  <w:style w:type="character" w:customStyle="1" w:styleId="citation-469">
    <w:name w:val="citation-469"/>
    <w:basedOn w:val="Fontepargpadro"/>
    <w:rsid w:val="00C21022"/>
  </w:style>
  <w:style w:type="character" w:customStyle="1" w:styleId="citation-468">
    <w:name w:val="citation-468"/>
    <w:basedOn w:val="Fontepargpadro"/>
    <w:rsid w:val="00C21022"/>
  </w:style>
  <w:style w:type="character" w:customStyle="1" w:styleId="citation-467">
    <w:name w:val="citation-467"/>
    <w:basedOn w:val="Fontepargpadro"/>
    <w:rsid w:val="00C21022"/>
  </w:style>
  <w:style w:type="character" w:customStyle="1" w:styleId="citation-466">
    <w:name w:val="citation-466"/>
    <w:basedOn w:val="Fontepargpadro"/>
    <w:rsid w:val="00C21022"/>
  </w:style>
  <w:style w:type="paragraph" w:styleId="CabealhodoSumrio">
    <w:name w:val="TOC Heading"/>
    <w:basedOn w:val="Ttulo1"/>
    <w:next w:val="Normal"/>
    <w:uiPriority w:val="39"/>
    <w:unhideWhenUsed/>
    <w:qFormat/>
    <w:rsid w:val="00926DD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26DD6"/>
    <w:pPr>
      <w:spacing w:after="100"/>
    </w:pPr>
  </w:style>
  <w:style w:type="character" w:styleId="Hyperlink">
    <w:name w:val="Hyperlink"/>
    <w:basedOn w:val="Fontepargpadro"/>
    <w:uiPriority w:val="99"/>
    <w:unhideWhenUsed/>
    <w:rsid w:val="00926DD6"/>
    <w:rPr>
      <w:color w:val="467886" w:themeColor="hyperlink"/>
      <w:u w:val="single"/>
    </w:rPr>
  </w:style>
  <w:style w:type="table" w:styleId="TabeladeGrade7Colorida-nfase6">
    <w:name w:val="Grid Table 7 Colorful Accent 6"/>
    <w:basedOn w:val="Tabelanormal"/>
    <w:uiPriority w:val="52"/>
    <w:rsid w:val="00986C11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26B-33AD-40AA-9BEE-165EECA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Antenogines.Pedroso - Unespar Apucarana</dc:creator>
  <cp:keywords/>
  <dc:description/>
  <cp:lastModifiedBy>Antenogines.Pedroso - Unespar Apucarana</cp:lastModifiedBy>
  <cp:revision>4</cp:revision>
  <dcterms:created xsi:type="dcterms:W3CDTF">2026-06-10T17:51:00Z</dcterms:created>
  <dcterms:modified xsi:type="dcterms:W3CDTF">2026-06-16T17:25:00Z</dcterms:modified>
</cp:coreProperties>
</file>