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AD0A6" w14:textId="77777777" w:rsidR="00C919E8" w:rsidRDefault="00C919E8"/>
    <w:tbl>
      <w:tblPr>
        <w:tblStyle w:val="TabeladeGrade5Escura-nfase6"/>
        <w:tblW w:w="15308" w:type="dxa"/>
        <w:jc w:val="center"/>
        <w:tblBorders>
          <w:top w:val="single" w:sz="4" w:space="0" w:color="45B0E1" w:themeColor="accent1" w:themeTint="99"/>
          <w:left w:val="single" w:sz="4" w:space="0" w:color="45B0E1" w:themeColor="accent1" w:themeTint="99"/>
          <w:bottom w:val="single" w:sz="4" w:space="0" w:color="45B0E1" w:themeColor="accent1" w:themeTint="99"/>
          <w:right w:val="single" w:sz="4" w:space="0" w:color="45B0E1" w:themeColor="accent1" w:themeTint="99"/>
          <w:insideH w:val="single" w:sz="4" w:space="0" w:color="45B0E1" w:themeColor="accent1" w:themeTint="99"/>
          <w:insideV w:val="single" w:sz="4" w:space="0" w:color="45B0E1" w:themeColor="accent1" w:themeTint="99"/>
        </w:tblBorders>
        <w:tblLook w:val="04A0" w:firstRow="1" w:lastRow="0" w:firstColumn="1" w:lastColumn="0" w:noHBand="0" w:noVBand="1"/>
      </w:tblPr>
      <w:tblGrid>
        <w:gridCol w:w="1873"/>
        <w:gridCol w:w="3998"/>
        <w:gridCol w:w="5090"/>
        <w:gridCol w:w="4347"/>
      </w:tblGrid>
      <w:tr w:rsidR="00C21022" w:rsidRPr="00986C11" w14:paraId="609C7BBB" w14:textId="77777777" w:rsidTr="00A765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8" w:type="dxa"/>
            <w:gridSpan w:val="4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3B08EDED" w14:textId="4050CAB0" w:rsidR="00C21022" w:rsidRPr="00986C11" w:rsidRDefault="00C21022" w:rsidP="00986C11">
            <w:pPr>
              <w:pStyle w:val="Ttulo1"/>
            </w:pPr>
            <w:bookmarkStart w:id="0" w:name="_Toc231892950"/>
            <w:r w:rsidRPr="00986C11">
              <w:t>PARANAGUÁ - Avaliação Institucional 2025 (docentes e discentes)</w:t>
            </w:r>
            <w:bookmarkEnd w:id="0"/>
          </w:p>
        </w:tc>
      </w:tr>
      <w:tr w:rsidR="00442115" w:rsidRPr="00873AD9" w14:paraId="668D3DB9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8" w:type="dxa"/>
            <w:gridSpan w:val="4"/>
            <w:tcBorders>
              <w:left w:val="none" w:sz="0" w:space="0" w:color="auto"/>
            </w:tcBorders>
          </w:tcPr>
          <w:p w14:paraId="71DA80D4" w14:textId="77777777" w:rsidR="00442115" w:rsidRPr="00926DD6" w:rsidRDefault="00442115" w:rsidP="0005534C">
            <w:pPr>
              <w:jc w:val="center"/>
              <w:rPr>
                <w:rFonts w:ascii="Aptos Narrow" w:hAnsi="Aptos Narrow"/>
                <w:b w:val="0"/>
                <w:bCs w:val="0"/>
              </w:rPr>
            </w:pPr>
            <w:r w:rsidRPr="00926DD6">
              <w:rPr>
                <w:rFonts w:ascii="Aptos Narrow" w:hAnsi="Aptos Narrow"/>
                <w:b w:val="0"/>
                <w:bCs w:val="0"/>
              </w:rPr>
              <w:t xml:space="preserve">Matriz de Impacto das </w:t>
            </w:r>
            <w:r w:rsidRPr="00926DD6">
              <w:rPr>
                <w:rFonts w:ascii="Aptos Narrow" w:hAnsi="Aptos Narrow"/>
              </w:rPr>
              <w:t>Práticas Consolidadas pela Direção do campus</w:t>
            </w:r>
            <w:r w:rsidRPr="00926DD6">
              <w:rPr>
                <w:rFonts w:ascii="Aptos Narrow" w:hAnsi="Aptos Narrow"/>
                <w:b w:val="0"/>
                <w:bCs w:val="0"/>
              </w:rPr>
              <w:t xml:space="preserve"> - Potencialidades</w:t>
            </w:r>
          </w:p>
        </w:tc>
      </w:tr>
      <w:tr w:rsidR="00C21022" w:rsidRPr="00C21022" w14:paraId="04857519" w14:textId="77777777" w:rsidTr="00C919E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4" w:type="dxa"/>
            <w:tcBorders>
              <w:left w:val="none" w:sz="0" w:space="0" w:color="auto"/>
            </w:tcBorders>
            <w:hideMark/>
          </w:tcPr>
          <w:p w14:paraId="6E439E94" w14:textId="77777777" w:rsidR="00C21022" w:rsidRPr="00926DD6" w:rsidRDefault="00C21022" w:rsidP="000010CB">
            <w:pPr>
              <w:rPr>
                <w:rFonts w:ascii="Aptos Narrow" w:hAnsi="Aptos Narrow"/>
                <w:b w:val="0"/>
                <w:bCs w:val="0"/>
                <w:color w:val="000000" w:themeColor="text1"/>
              </w:rPr>
            </w:pPr>
            <w:r w:rsidRPr="00926DD6">
              <w:rPr>
                <w:rFonts w:ascii="Aptos Narrow" w:hAnsi="Aptos Narrow"/>
                <w:color w:val="000000" w:themeColor="text1"/>
              </w:rPr>
              <w:t>Área / Eixo</w:t>
            </w:r>
          </w:p>
        </w:tc>
        <w:tc>
          <w:tcPr>
            <w:tcW w:w="4397" w:type="dxa"/>
            <w:hideMark/>
          </w:tcPr>
          <w:p w14:paraId="33279851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00926DD6">
              <w:rPr>
                <w:rFonts w:ascii="Aptos Narrow" w:hAnsi="Aptos Narrow"/>
                <w:b/>
                <w:bCs/>
                <w:color w:val="000000" w:themeColor="text1"/>
              </w:rPr>
              <w:t xml:space="preserve">Ação Implementada </w:t>
            </w:r>
          </w:p>
        </w:tc>
        <w:tc>
          <w:tcPr>
            <w:tcW w:w="5058" w:type="dxa"/>
            <w:hideMark/>
          </w:tcPr>
          <w:p w14:paraId="110B1B58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00926DD6">
              <w:rPr>
                <w:rFonts w:ascii="Aptos Narrow" w:hAnsi="Aptos Narrow"/>
                <w:b/>
                <w:bCs/>
                <w:color w:val="000000" w:themeColor="text1"/>
              </w:rPr>
              <w:t>Impacto Acadêmico e Institucional</w:t>
            </w:r>
          </w:p>
        </w:tc>
        <w:tc>
          <w:tcPr>
            <w:tcW w:w="3989" w:type="dxa"/>
            <w:hideMark/>
          </w:tcPr>
          <w:p w14:paraId="7224B01E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 w:themeColor="text1"/>
              </w:rPr>
            </w:pPr>
            <w:r w:rsidRPr="00926DD6">
              <w:rPr>
                <w:rFonts w:ascii="Aptos Narrow" w:hAnsi="Aptos Narrow"/>
                <w:b/>
                <w:bCs/>
                <w:color w:val="000000" w:themeColor="text1"/>
              </w:rPr>
              <w:t>Canal de Divulgação Sugerido</w:t>
            </w:r>
          </w:p>
        </w:tc>
      </w:tr>
      <w:tr w:rsidR="00C21022" w:rsidRPr="00C21022" w14:paraId="18B5DD85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7F1637D4" w14:textId="77777777" w:rsidR="00C21022" w:rsidRPr="00926DD6" w:rsidRDefault="00C21022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Infraestrutura e Tecnologia</w:t>
            </w:r>
          </w:p>
        </w:tc>
        <w:tc>
          <w:tcPr>
            <w:tcW w:w="0" w:type="auto"/>
            <w:hideMark/>
          </w:tcPr>
          <w:p w14:paraId="028D3CD7" w14:textId="77777777" w:rsidR="00BE0BF7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Atualização de equipamentos (impressoras 3D, kits de robótica, lousas digitais, TVs). </w:t>
            </w:r>
          </w:p>
          <w:p w14:paraId="165E5855" w14:textId="7F63BB1A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Reforma do campus e modernização da biblioteca (parcialmente digital). </w:t>
            </w:r>
          </w:p>
          <w:p w14:paraId="1BC65CEB" w14:textId="1BD3EDFE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Implementação de aplicativos em sala de aula. </w:t>
            </w:r>
          </w:p>
          <w:p w14:paraId="00376F43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Uso de Inteligência Artificial para práticas alinhadas às demandas de mercado. </w:t>
            </w:r>
          </w:p>
        </w:tc>
        <w:tc>
          <w:tcPr>
            <w:tcW w:w="0" w:type="auto"/>
            <w:hideMark/>
          </w:tcPr>
          <w:p w14:paraId="69B412C3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t>Salto Tecnológico na Costa.</w:t>
            </w:r>
            <w:r w:rsidRPr="00926DD6">
              <w:rPr>
                <w:rFonts w:ascii="Aptos Narrow" w:hAnsi="Aptos Narrow"/>
              </w:rPr>
              <w:t xml:space="preserve"> Conecta os estudantes com as tendências da indústria moderna e do ecossistema empresarial por meio da robótica e IA. </w:t>
            </w:r>
          </w:p>
        </w:tc>
        <w:tc>
          <w:tcPr>
            <w:tcW w:w="0" w:type="auto"/>
            <w:hideMark/>
          </w:tcPr>
          <w:p w14:paraId="3C40B03D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Mídia Regional e Redes Sociais:</w:t>
            </w:r>
            <w:r w:rsidRPr="00926DD6">
              <w:rPr>
                <w:rFonts w:ascii="Aptos Narrow" w:hAnsi="Aptos Narrow"/>
              </w:rPr>
              <w:t xml:space="preserve"> Demonstrar a atuação dos estudantes manuseando as lousas digitais e impressoras 3D. </w:t>
            </w:r>
          </w:p>
        </w:tc>
      </w:tr>
      <w:tr w:rsidR="00C21022" w:rsidRPr="00C21022" w14:paraId="6127578D" w14:textId="77777777" w:rsidTr="00A76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13FFE420" w14:textId="77777777" w:rsidR="00C21022" w:rsidRPr="00926DD6" w:rsidRDefault="00C21022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Ensino e Metodologias</w:t>
            </w:r>
          </w:p>
        </w:tc>
        <w:tc>
          <w:tcPr>
            <w:tcW w:w="0" w:type="auto"/>
            <w:hideMark/>
          </w:tcPr>
          <w:p w14:paraId="5ADF6AED" w14:textId="2A60071A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Adoção de metodologias ativas (aprendizagem ativa, sala invertida). </w:t>
            </w:r>
          </w:p>
          <w:p w14:paraId="0D648786" w14:textId="4D0127C1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Projetos integradores que aproximam teoria e prática. </w:t>
            </w:r>
          </w:p>
          <w:p w14:paraId="47222444" w14:textId="18598F45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Metodologias inclusivas e flexíveis adaptadas a ritmos diversos. </w:t>
            </w:r>
          </w:p>
          <w:p w14:paraId="476FF6E7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Alinhamento das práticas pedagógicas com as metas dos ODS. </w:t>
            </w:r>
          </w:p>
        </w:tc>
        <w:tc>
          <w:tcPr>
            <w:tcW w:w="0" w:type="auto"/>
            <w:hideMark/>
          </w:tcPr>
          <w:p w14:paraId="2D5FD216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t>Ensino Focado no Futuro.</w:t>
            </w:r>
            <w:r w:rsidRPr="00926DD6">
              <w:rPr>
                <w:rFonts w:ascii="Aptos Narrow" w:hAnsi="Aptos Narrow"/>
              </w:rPr>
              <w:t xml:space="preserve"> O alinhamento explícito com as diretrizes dos ODS e a flexibilização do aprendizado agregam imenso valor institucional nas avaliações do MEC/CEE. </w:t>
            </w:r>
          </w:p>
        </w:tc>
        <w:tc>
          <w:tcPr>
            <w:tcW w:w="0" w:type="auto"/>
            <w:hideMark/>
          </w:tcPr>
          <w:p w14:paraId="500B6B7C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Semanas Pedagógicas:</w:t>
            </w:r>
            <w:r w:rsidRPr="00926DD6">
              <w:rPr>
                <w:rFonts w:ascii="Aptos Narrow" w:hAnsi="Aptos Narrow"/>
              </w:rPr>
              <w:t xml:space="preserve"> Compartilhar os roteiros de projetos integradores bem-sucedidos para inspirar novos docentes. </w:t>
            </w:r>
          </w:p>
        </w:tc>
      </w:tr>
      <w:tr w:rsidR="00C21022" w:rsidRPr="00C21022" w14:paraId="68DB484A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3D569E74" w14:textId="77777777" w:rsidR="00C21022" w:rsidRPr="00926DD6" w:rsidRDefault="00C21022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Inclusão e Apoio</w:t>
            </w:r>
          </w:p>
        </w:tc>
        <w:tc>
          <w:tcPr>
            <w:tcW w:w="0" w:type="auto"/>
            <w:hideMark/>
          </w:tcPr>
          <w:p w14:paraId="3F09A700" w14:textId="4B2B7751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Avaliações diferenciadas, atendimento especializado e apoio com intérprete de Libras e materiais acessíveis. </w:t>
            </w:r>
          </w:p>
          <w:p w14:paraId="0EADC0A0" w14:textId="0C4D0A8B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Atendimento focado em estudantes com </w:t>
            </w:r>
            <w:proofErr w:type="spellStart"/>
            <w:r w:rsidRPr="00926DD6">
              <w:rPr>
                <w:rFonts w:ascii="Aptos Narrow" w:hAnsi="Aptos Narrow"/>
              </w:rPr>
              <w:t>neurodivergências</w:t>
            </w:r>
            <w:proofErr w:type="spellEnd"/>
            <w:r w:rsidRPr="00926DD6">
              <w:rPr>
                <w:rFonts w:ascii="Aptos Narrow" w:hAnsi="Aptos Narrow"/>
              </w:rPr>
              <w:t xml:space="preserve">. </w:t>
            </w:r>
          </w:p>
          <w:p w14:paraId="7855E756" w14:textId="71AD4B94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Atuação ativa dos Núcleos (NERG, NERA, NESPI) para garantir a permanência. </w:t>
            </w:r>
          </w:p>
          <w:p w14:paraId="0935142F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Consultoria júnior e iniciativas de protagonismo e decisão discente. </w:t>
            </w:r>
          </w:p>
        </w:tc>
        <w:tc>
          <w:tcPr>
            <w:tcW w:w="0" w:type="auto"/>
            <w:hideMark/>
          </w:tcPr>
          <w:p w14:paraId="54540DB7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t>Inclusão com Equidade.</w:t>
            </w:r>
            <w:r w:rsidRPr="00926DD6">
              <w:rPr>
                <w:rFonts w:ascii="Aptos Narrow" w:hAnsi="Aptos Narrow"/>
              </w:rPr>
              <w:t xml:space="preserve"> A atuação combinada dos três núcleos de diversidade cria uma rede de proteção robusta contra o abandono de curso. </w:t>
            </w:r>
          </w:p>
        </w:tc>
        <w:tc>
          <w:tcPr>
            <w:tcW w:w="0" w:type="auto"/>
            <w:hideMark/>
          </w:tcPr>
          <w:p w14:paraId="379EF9A0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Boletim de Sustentabilidade Social:</w:t>
            </w:r>
            <w:r w:rsidRPr="00926DD6">
              <w:rPr>
                <w:rFonts w:ascii="Aptos Narrow" w:hAnsi="Aptos Narrow"/>
              </w:rPr>
              <w:t xml:space="preserve"> Destacar a participação dos estudantes nas decisões de gestão do campus. </w:t>
            </w:r>
          </w:p>
        </w:tc>
      </w:tr>
      <w:tr w:rsidR="00C21022" w:rsidRPr="00C21022" w14:paraId="7D6FFB68" w14:textId="77777777" w:rsidTr="00A765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</w:tcBorders>
            <w:hideMark/>
          </w:tcPr>
          <w:p w14:paraId="3F711E91" w14:textId="77777777" w:rsidR="00C21022" w:rsidRPr="00926DD6" w:rsidRDefault="00C21022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>Pesquisa e Extensão</w:t>
            </w:r>
          </w:p>
        </w:tc>
        <w:tc>
          <w:tcPr>
            <w:tcW w:w="0" w:type="auto"/>
            <w:hideMark/>
          </w:tcPr>
          <w:p w14:paraId="71AE78CA" w14:textId="56B467BB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Projetos de extensão e feiras comunitárias. </w:t>
            </w:r>
          </w:p>
          <w:p w14:paraId="7C6EAF1A" w14:textId="26F2BDEC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lastRenderedPageBreak/>
              <w:t xml:space="preserve">• Incentivo à iniciação científica, PET, PIBID e projetos interdisciplinares. </w:t>
            </w:r>
          </w:p>
          <w:p w14:paraId="6B648104" w14:textId="209BFC18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Pesquisas aplicadas inovadoras (robótica na biologia, impressão 3D para materiais didáticos). </w:t>
            </w:r>
          </w:p>
          <w:p w14:paraId="09B65E4F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br/>
            </w:r>
          </w:p>
          <w:p w14:paraId="344CA6E3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Atualização constante nos PPCs estimulada pela pesquisa. </w:t>
            </w:r>
          </w:p>
        </w:tc>
        <w:tc>
          <w:tcPr>
            <w:tcW w:w="0" w:type="auto"/>
            <w:hideMark/>
          </w:tcPr>
          <w:p w14:paraId="7BAB100D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lastRenderedPageBreak/>
              <w:t>Ciência Prática Aplicada.</w:t>
            </w:r>
            <w:r w:rsidRPr="00926DD6">
              <w:rPr>
                <w:rFonts w:ascii="Aptos Narrow" w:hAnsi="Aptos Narrow"/>
              </w:rPr>
              <w:t xml:space="preserve"> A fusão de robótica com biologia e o uso de impressão 3D provam a </w:t>
            </w:r>
            <w:r w:rsidRPr="00926DD6">
              <w:rPr>
                <w:rFonts w:ascii="Aptos Narrow" w:hAnsi="Aptos Narrow"/>
              </w:rPr>
              <w:lastRenderedPageBreak/>
              <w:t xml:space="preserve">maturidade da pesquisa interdisciplinar desenvolvida no Litoral. </w:t>
            </w:r>
          </w:p>
        </w:tc>
        <w:tc>
          <w:tcPr>
            <w:tcW w:w="0" w:type="auto"/>
            <w:hideMark/>
          </w:tcPr>
          <w:p w14:paraId="6C93CEC3" w14:textId="77777777" w:rsidR="00C21022" w:rsidRPr="00926DD6" w:rsidRDefault="00C21022" w:rsidP="00001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lastRenderedPageBreak/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Portais de Ciência / Divulgação Geral:</w:t>
            </w:r>
            <w:r w:rsidRPr="00926DD6">
              <w:rPr>
                <w:rFonts w:ascii="Aptos Narrow" w:hAnsi="Aptos Narrow"/>
              </w:rPr>
              <w:t xml:space="preserve"> Matéria especial sobre como os materiais </w:t>
            </w:r>
            <w:r w:rsidRPr="00926DD6">
              <w:rPr>
                <w:rFonts w:ascii="Aptos Narrow" w:hAnsi="Aptos Narrow"/>
              </w:rPr>
              <w:lastRenderedPageBreak/>
              <w:t xml:space="preserve">didáticos em 3D estão ajudando a comunidade. </w:t>
            </w:r>
          </w:p>
        </w:tc>
      </w:tr>
      <w:tr w:rsidR="00C21022" w:rsidRPr="00C21022" w14:paraId="07F6834A" w14:textId="77777777" w:rsidTr="00A7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bottom w:val="none" w:sz="0" w:space="0" w:color="auto"/>
            </w:tcBorders>
            <w:hideMark/>
          </w:tcPr>
          <w:p w14:paraId="4C0CCCA0" w14:textId="77777777" w:rsidR="00C21022" w:rsidRPr="00926DD6" w:rsidRDefault="00C21022" w:rsidP="000010CB">
            <w:pPr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lastRenderedPageBreak/>
              <w:t>Atividades Acadêmicas</w:t>
            </w:r>
          </w:p>
        </w:tc>
        <w:tc>
          <w:tcPr>
            <w:tcW w:w="0" w:type="auto"/>
            <w:hideMark/>
          </w:tcPr>
          <w:p w14:paraId="2212FC1B" w14:textId="6E97741A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Capacitação docente para uso de tecnologias com apoio da AGITEC. </w:t>
            </w:r>
          </w:p>
          <w:p w14:paraId="36B45319" w14:textId="1B22F798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Semanas acadêmicas em múltiplos cursos (História, Administração, Matemática). </w:t>
            </w:r>
          </w:p>
          <w:p w14:paraId="647EE220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Oficinas, palestras, amostras de profissões, ACEAC e bolsas de estudo em campo. </w:t>
            </w:r>
          </w:p>
        </w:tc>
        <w:tc>
          <w:tcPr>
            <w:tcW w:w="0" w:type="auto"/>
            <w:hideMark/>
          </w:tcPr>
          <w:p w14:paraId="72B5D783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  <w:b/>
                <w:bCs/>
              </w:rPr>
              <w:t>Campus Dinâmico.</w:t>
            </w:r>
            <w:r w:rsidRPr="00926DD6">
              <w:rPr>
                <w:rFonts w:ascii="Aptos Narrow" w:hAnsi="Aptos Narrow"/>
              </w:rPr>
              <w:t xml:space="preserve"> Mantém a comunidade engajada através de eventos plurais que integram a universidade com as escolas públicas da região. </w:t>
            </w:r>
          </w:p>
        </w:tc>
        <w:tc>
          <w:tcPr>
            <w:tcW w:w="0" w:type="auto"/>
            <w:hideMark/>
          </w:tcPr>
          <w:p w14:paraId="4519C064" w14:textId="77777777" w:rsidR="00C21022" w:rsidRPr="00926DD6" w:rsidRDefault="00C21022" w:rsidP="000010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926DD6">
              <w:rPr>
                <w:rFonts w:ascii="Aptos Narrow" w:hAnsi="Aptos Narrow"/>
              </w:rPr>
              <w:t xml:space="preserve">• </w:t>
            </w:r>
            <w:r w:rsidRPr="00926DD6">
              <w:rPr>
                <w:rFonts w:ascii="Aptos Narrow" w:hAnsi="Aptos Narrow"/>
                <w:b/>
                <w:bCs/>
              </w:rPr>
              <w:t>LinkedIn Institucional:</w:t>
            </w:r>
            <w:r w:rsidRPr="00926DD6">
              <w:rPr>
                <w:rFonts w:ascii="Aptos Narrow" w:hAnsi="Aptos Narrow"/>
              </w:rPr>
              <w:t xml:space="preserve"> Registrar a parceria estratégica com a AGITEC e as capacitações docentes em tecnologia. </w:t>
            </w:r>
          </w:p>
        </w:tc>
      </w:tr>
    </w:tbl>
    <w:p w14:paraId="5268E9FC" w14:textId="77777777" w:rsidR="00C919E8" w:rsidRDefault="00C919E8"/>
    <w:sectPr w:rsidR="00C919E8" w:rsidSect="00A765A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BDB"/>
    <w:rsid w:val="000010CB"/>
    <w:rsid w:val="001951A0"/>
    <w:rsid w:val="001D1963"/>
    <w:rsid w:val="001F4226"/>
    <w:rsid w:val="003C7F59"/>
    <w:rsid w:val="00442115"/>
    <w:rsid w:val="004A1538"/>
    <w:rsid w:val="00515B02"/>
    <w:rsid w:val="00657AC5"/>
    <w:rsid w:val="00684FC4"/>
    <w:rsid w:val="006A6475"/>
    <w:rsid w:val="006A7889"/>
    <w:rsid w:val="00707563"/>
    <w:rsid w:val="00787F45"/>
    <w:rsid w:val="007B1B0A"/>
    <w:rsid w:val="008059E0"/>
    <w:rsid w:val="00873AD9"/>
    <w:rsid w:val="00897BDB"/>
    <w:rsid w:val="008A636E"/>
    <w:rsid w:val="008B7D57"/>
    <w:rsid w:val="008C1DBA"/>
    <w:rsid w:val="008E559C"/>
    <w:rsid w:val="008F74B0"/>
    <w:rsid w:val="00925D4B"/>
    <w:rsid w:val="00926DD6"/>
    <w:rsid w:val="00986C11"/>
    <w:rsid w:val="00994269"/>
    <w:rsid w:val="00A50340"/>
    <w:rsid w:val="00A765AD"/>
    <w:rsid w:val="00AE3E54"/>
    <w:rsid w:val="00B009E1"/>
    <w:rsid w:val="00BB395F"/>
    <w:rsid w:val="00BE0BF7"/>
    <w:rsid w:val="00C21022"/>
    <w:rsid w:val="00C919E8"/>
    <w:rsid w:val="00DB6B59"/>
    <w:rsid w:val="00E27659"/>
    <w:rsid w:val="00FC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F6CFB"/>
  <w15:chartTrackingRefBased/>
  <w15:docId w15:val="{0A70E739-8FBF-4AD3-A14B-77B85320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0CB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994269"/>
    <w:pPr>
      <w:keepNext/>
      <w:keepLines/>
      <w:jc w:val="center"/>
      <w:outlineLvl w:val="0"/>
    </w:pPr>
    <w:rPr>
      <w:rFonts w:ascii="Aptos Narrow" w:eastAsiaTheme="majorEastAsia" w:hAnsi="Aptos Narrow" w:cstheme="majorBidi"/>
      <w:b/>
      <w:color w:val="000000" w:themeColor="text1"/>
      <w:sz w:val="28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7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7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7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7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7B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7B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7B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7B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94269"/>
    <w:rPr>
      <w:rFonts w:ascii="Aptos Narrow" w:eastAsiaTheme="majorEastAsia" w:hAnsi="Aptos Narrow" w:cstheme="majorBidi"/>
      <w:b/>
      <w:color w:val="000000" w:themeColor="text1"/>
      <w:sz w:val="28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7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7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7B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7BD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7B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7BD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7B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7B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7B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7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7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7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7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7BD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7BD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7BD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7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7BD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7BDB"/>
    <w:rPr>
      <w:b/>
      <w:bCs/>
      <w:smallCaps/>
      <w:color w:val="0F4761" w:themeColor="accent1" w:themeShade="BF"/>
      <w:spacing w:val="5"/>
    </w:rPr>
  </w:style>
  <w:style w:type="table" w:styleId="TabeladeGrade5Escura-nfase6">
    <w:name w:val="Grid Table 5 Dark Accent 6"/>
    <w:basedOn w:val="Tabelanormal"/>
    <w:uiPriority w:val="50"/>
    <w:rsid w:val="00897B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character" w:styleId="Forte">
    <w:name w:val="Strong"/>
    <w:basedOn w:val="Fontepargpadro"/>
    <w:uiPriority w:val="22"/>
    <w:qFormat/>
    <w:rsid w:val="00C2102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2102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citation-480">
    <w:name w:val="citation-480"/>
    <w:basedOn w:val="Fontepargpadro"/>
    <w:rsid w:val="00C21022"/>
  </w:style>
  <w:style w:type="character" w:customStyle="1" w:styleId="citation-479">
    <w:name w:val="citation-479"/>
    <w:basedOn w:val="Fontepargpadro"/>
    <w:rsid w:val="00C21022"/>
  </w:style>
  <w:style w:type="character" w:customStyle="1" w:styleId="citation-478">
    <w:name w:val="citation-478"/>
    <w:basedOn w:val="Fontepargpadro"/>
    <w:rsid w:val="00C21022"/>
  </w:style>
  <w:style w:type="character" w:customStyle="1" w:styleId="citation-477">
    <w:name w:val="citation-477"/>
    <w:basedOn w:val="Fontepargpadro"/>
    <w:rsid w:val="00C21022"/>
  </w:style>
  <w:style w:type="character" w:customStyle="1" w:styleId="citation-476">
    <w:name w:val="citation-476"/>
    <w:basedOn w:val="Fontepargpadro"/>
    <w:rsid w:val="00C21022"/>
  </w:style>
  <w:style w:type="character" w:customStyle="1" w:styleId="citation-475">
    <w:name w:val="citation-475"/>
    <w:basedOn w:val="Fontepargpadro"/>
    <w:rsid w:val="00C21022"/>
  </w:style>
  <w:style w:type="character" w:customStyle="1" w:styleId="citation-474">
    <w:name w:val="citation-474"/>
    <w:basedOn w:val="Fontepargpadro"/>
    <w:rsid w:val="00C21022"/>
  </w:style>
  <w:style w:type="character" w:customStyle="1" w:styleId="citation-473">
    <w:name w:val="citation-473"/>
    <w:basedOn w:val="Fontepargpadro"/>
    <w:rsid w:val="00C21022"/>
  </w:style>
  <w:style w:type="character" w:customStyle="1" w:styleId="citation-472">
    <w:name w:val="citation-472"/>
    <w:basedOn w:val="Fontepargpadro"/>
    <w:rsid w:val="00C21022"/>
  </w:style>
  <w:style w:type="character" w:customStyle="1" w:styleId="citation-471">
    <w:name w:val="citation-471"/>
    <w:basedOn w:val="Fontepargpadro"/>
    <w:rsid w:val="00C21022"/>
  </w:style>
  <w:style w:type="character" w:customStyle="1" w:styleId="citation-470">
    <w:name w:val="citation-470"/>
    <w:basedOn w:val="Fontepargpadro"/>
    <w:rsid w:val="00C21022"/>
  </w:style>
  <w:style w:type="character" w:customStyle="1" w:styleId="citation-469">
    <w:name w:val="citation-469"/>
    <w:basedOn w:val="Fontepargpadro"/>
    <w:rsid w:val="00C21022"/>
  </w:style>
  <w:style w:type="character" w:customStyle="1" w:styleId="citation-468">
    <w:name w:val="citation-468"/>
    <w:basedOn w:val="Fontepargpadro"/>
    <w:rsid w:val="00C21022"/>
  </w:style>
  <w:style w:type="character" w:customStyle="1" w:styleId="citation-467">
    <w:name w:val="citation-467"/>
    <w:basedOn w:val="Fontepargpadro"/>
    <w:rsid w:val="00C21022"/>
  </w:style>
  <w:style w:type="character" w:customStyle="1" w:styleId="citation-466">
    <w:name w:val="citation-466"/>
    <w:basedOn w:val="Fontepargpadro"/>
    <w:rsid w:val="00C21022"/>
  </w:style>
  <w:style w:type="paragraph" w:styleId="CabealhodoSumrio">
    <w:name w:val="TOC Heading"/>
    <w:basedOn w:val="Ttulo1"/>
    <w:next w:val="Normal"/>
    <w:uiPriority w:val="39"/>
    <w:unhideWhenUsed/>
    <w:qFormat/>
    <w:rsid w:val="00926DD6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szCs w:val="32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926DD6"/>
    <w:pPr>
      <w:spacing w:after="100"/>
    </w:pPr>
  </w:style>
  <w:style w:type="character" w:styleId="Hyperlink">
    <w:name w:val="Hyperlink"/>
    <w:basedOn w:val="Fontepargpadro"/>
    <w:uiPriority w:val="99"/>
    <w:unhideWhenUsed/>
    <w:rsid w:val="00926DD6"/>
    <w:rPr>
      <w:color w:val="467886" w:themeColor="hyperlink"/>
      <w:u w:val="single"/>
    </w:rPr>
  </w:style>
  <w:style w:type="table" w:styleId="TabeladeGrade7Colorida-nfase6">
    <w:name w:val="Grid Table 7 Colorful Accent 6"/>
    <w:basedOn w:val="Tabelanormal"/>
    <w:uiPriority w:val="52"/>
    <w:rsid w:val="00986C11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3226B-33AD-40AA-9BEE-165EECA85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Antenogines.Pedroso - Unespar Apucarana</dc:creator>
  <cp:keywords/>
  <dc:description/>
  <cp:lastModifiedBy>Antenogines.Pedroso - Unespar Apucarana</cp:lastModifiedBy>
  <cp:revision>3</cp:revision>
  <dcterms:created xsi:type="dcterms:W3CDTF">2026-06-10T17:51:00Z</dcterms:created>
  <dcterms:modified xsi:type="dcterms:W3CDTF">2026-06-10T17:55:00Z</dcterms:modified>
</cp:coreProperties>
</file>